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10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nts/font9.odttf" ContentType="application/vnd.openxmlformats-officedocument.obfuscatedFont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51BEB2D5">
      <w:p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line="360" w:lineRule="auto"/>
        <w:rPr>
          <w:rFonts w:hint="eastAsia" w:ascii="楷体" w:hAnsi="楷体" w:eastAsia="楷体" w:cs="楷体"/>
          <w:b/>
          <w:bCs/>
          <w:color w:val="1F1F1F"/>
          <w:sz w:val="24"/>
          <w:szCs w:val="24"/>
          <w:rtl w:val="0"/>
          <w:lang w:val="en-US" w:eastAsia="zh-CN"/>
        </w:rPr>
      </w:pPr>
      <w:bookmarkStart w:id="0" w:name="_GoBack"/>
      <w:bookmarkEnd w:id="0"/>
    </w:p>
    <w:p w14:paraId="00000003">
      <w:p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line="360" w:lineRule="auto"/>
        <w:rPr>
          <w:rFonts w:hint="eastAsia" w:ascii="楷体" w:hAnsi="楷体" w:eastAsia="楷体" w:cs="楷体"/>
          <w:color w:val="1F1F1F"/>
          <w:sz w:val="24"/>
          <w:szCs w:val="24"/>
        </w:rPr>
      </w:pPr>
      <w:r>
        <w:rPr>
          <w:rFonts w:hint="eastAsia" w:ascii="楷体" w:hAnsi="楷体" w:eastAsia="楷体" w:cs="楷体"/>
          <w:b/>
          <w:bCs/>
          <w:color w:val="1F1F1F"/>
          <w:sz w:val="24"/>
          <w:szCs w:val="24"/>
          <w:rtl w:val="0"/>
          <w:lang w:val="en-US" w:eastAsia="zh-CN"/>
        </w:rPr>
        <w:t>会议核心观点</w:t>
      </w:r>
      <w:r>
        <w:rPr>
          <w:rFonts w:hint="eastAsia" w:ascii="楷体" w:hAnsi="楷体" w:eastAsia="楷体" w:cs="楷体"/>
          <w:color w:val="1F1F1F"/>
          <w:sz w:val="24"/>
          <w:szCs w:val="24"/>
          <w:rtl w:val="0"/>
          <w:lang w:val="en-US" w:eastAsia="zh-CN"/>
        </w:rPr>
        <w:t>：</w:t>
      </w:r>
      <w:r>
        <w:rPr>
          <w:rFonts w:hint="eastAsia" w:ascii="楷体" w:hAnsi="楷体" w:eastAsia="楷体" w:cs="楷体"/>
          <w:color w:val="1F1F1F"/>
          <w:sz w:val="24"/>
          <w:szCs w:val="24"/>
          <w:rtl w:val="0"/>
        </w:rPr>
        <w:t>针对市场传言“康宁Glass Bridge玻璃桥方案将导致FAU消失”引发的无源光通信板块（如太辰光等）的大幅回撤，</w:t>
      </w:r>
      <w:r>
        <w:rPr>
          <w:rFonts w:hint="eastAsia" w:ascii="楷体" w:hAnsi="楷体" w:eastAsia="楷体" w:cs="楷体"/>
          <w:color w:val="1F1F1F"/>
          <w:sz w:val="24"/>
          <w:szCs w:val="24"/>
          <w:rtl w:val="0"/>
          <w:lang w:val="en-US" w:eastAsia="zh-CN"/>
        </w:rPr>
        <w:t>国联表态</w:t>
      </w:r>
      <w:r>
        <w:rPr>
          <w:rFonts w:hint="eastAsia" w:ascii="楷体" w:hAnsi="楷体" w:eastAsia="楷体" w:cs="楷体"/>
          <w:b/>
          <w:bCs/>
          <w:color w:val="1F1F1F"/>
          <w:sz w:val="24"/>
          <w:szCs w:val="24"/>
          <w:rtl w:val="0"/>
        </w:rPr>
        <w:t>该传言纯属误读，FAU绝不会消失。</w:t>
      </w:r>
      <w:r>
        <w:rPr>
          <w:rFonts w:hint="eastAsia" w:ascii="楷体" w:hAnsi="楷体" w:eastAsia="楷体" w:cs="楷体"/>
          <w:color w:val="1F1F1F"/>
          <w:sz w:val="24"/>
          <w:szCs w:val="24"/>
          <w:rtl w:val="0"/>
        </w:rPr>
        <w:t xml:space="preserve"> 康宁方案本质是针对CPO耦合难点的技术升级，强化了FAU的重要性。由于市场情绪敏感导致的无源板块下跌属于典型错杀，继续坚决看好无源器件（FAU、MPO等）的超级周期。</w:t>
      </w:r>
    </w:p>
    <w:p w14:paraId="00000004">
      <w:pPr>
        <w:pStyle w:val="3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after="0" w:line="360" w:lineRule="auto"/>
        <w:rPr>
          <w:rFonts w:hint="eastAsia" w:ascii="楷体" w:hAnsi="楷体" w:eastAsia="楷体" w:cs="楷体"/>
          <w:color w:val="1F1F1F"/>
          <w:sz w:val="24"/>
          <w:szCs w:val="24"/>
        </w:rPr>
      </w:pPr>
      <w:r>
        <w:rPr>
          <w:rFonts w:hint="eastAsia" w:ascii="楷体" w:hAnsi="楷体" w:eastAsia="楷体" w:cs="楷体"/>
          <w:color w:val="1F1F1F"/>
          <w:sz w:val="24"/>
          <w:szCs w:val="24"/>
          <w:rtl w:val="0"/>
        </w:rPr>
        <w:t>一、 市场异动与传言澄清</w:t>
      </w:r>
    </w:p>
    <w:p w14:paraId="00000005">
      <w:pPr>
        <w:numPr>
          <w:ilvl w:val="0"/>
          <w:numId w:val="1"/>
        </w:num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line="360" w:lineRule="auto"/>
        <w:ind w:left="590" w:hanging="360"/>
        <w:rPr>
          <w:rFonts w:hint="eastAsia" w:ascii="楷体" w:hAnsi="楷体" w:eastAsia="楷体" w:cs="楷体"/>
          <w:sz w:val="24"/>
          <w:szCs w:val="24"/>
        </w:rPr>
      </w:pPr>
      <w:r>
        <w:rPr>
          <w:rFonts w:hint="eastAsia" w:ascii="楷体" w:hAnsi="楷体" w:eastAsia="楷体" w:cs="楷体"/>
          <w:b/>
          <w:bCs/>
          <w:color w:val="1F1F1F"/>
          <w:sz w:val="24"/>
          <w:szCs w:val="24"/>
          <w:rtl w:val="0"/>
        </w:rPr>
        <w:t>异动背景：</w:t>
      </w:r>
      <w:r>
        <w:rPr>
          <w:rFonts w:hint="eastAsia" w:ascii="楷体" w:hAnsi="楷体" w:eastAsia="楷体" w:cs="楷体"/>
          <w:color w:val="1F1F1F"/>
          <w:sz w:val="24"/>
          <w:szCs w:val="24"/>
          <w:rtl w:val="0"/>
        </w:rPr>
        <w:t xml:space="preserve"> 受隔夜外部信息发酵影响，市场流传韩国记者文章称康宁方案将“去掉（Replace）”FAU，导致以太辰光为代表的无源光器件公司出现大幅回撤。</w:t>
      </w:r>
    </w:p>
    <w:p w14:paraId="00000006">
      <w:pPr>
        <w:numPr>
          <w:ilvl w:val="0"/>
          <w:numId w:val="1"/>
        </w:num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line="360" w:lineRule="auto"/>
        <w:ind w:left="590" w:hanging="360"/>
        <w:rPr>
          <w:rFonts w:hint="eastAsia" w:ascii="楷体" w:hAnsi="楷体" w:eastAsia="楷体" w:cs="楷体"/>
          <w:sz w:val="24"/>
          <w:szCs w:val="24"/>
        </w:rPr>
      </w:pPr>
      <w:r>
        <w:rPr>
          <w:rFonts w:hint="eastAsia" w:ascii="楷体" w:hAnsi="楷体" w:eastAsia="楷体" w:cs="楷体"/>
          <w:b/>
          <w:bCs/>
          <w:color w:val="1F1F1F"/>
          <w:sz w:val="24"/>
          <w:szCs w:val="24"/>
          <w:rtl w:val="0"/>
        </w:rPr>
        <w:t>分析师定调：</w:t>
      </w:r>
      <w:r>
        <w:rPr>
          <w:rFonts w:hint="eastAsia" w:ascii="楷体" w:hAnsi="楷体" w:eastAsia="楷体" w:cs="楷体"/>
          <w:color w:val="1F1F1F"/>
          <w:sz w:val="24"/>
          <w:szCs w:val="24"/>
          <w:rtl w:val="0"/>
        </w:rPr>
        <w:t xml:space="preserve"> 康宁原文表述为“配合互补”，而非“替换”。FAU不仅不会消失，反而围绕D-FAU的竞争将成为未来CPO技术的核心。此次下跌为市场对外部信息过度敏感导致的错杀。</w:t>
      </w:r>
    </w:p>
    <w:p w14:paraId="00000007">
      <w:pPr>
        <w:pStyle w:val="3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after="0" w:line="360" w:lineRule="auto"/>
        <w:rPr>
          <w:rFonts w:hint="eastAsia" w:ascii="楷体" w:hAnsi="楷体" w:eastAsia="楷体" w:cs="楷体"/>
          <w:color w:val="1F1F1F"/>
          <w:sz w:val="24"/>
          <w:szCs w:val="24"/>
        </w:rPr>
      </w:pPr>
      <w:r>
        <w:rPr>
          <w:rFonts w:hint="eastAsia" w:ascii="楷体" w:hAnsi="楷体" w:eastAsia="楷体" w:cs="楷体"/>
          <w:color w:val="1F1F1F"/>
          <w:sz w:val="24"/>
          <w:szCs w:val="24"/>
          <w:rtl w:val="0"/>
        </w:rPr>
        <w:t>二、 康宁Glass Bridge方案技术原理解析</w:t>
      </w:r>
    </w:p>
    <w:p w14:paraId="00000008">
      <w:p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line="360" w:lineRule="auto"/>
        <w:rPr>
          <w:rFonts w:hint="eastAsia" w:ascii="楷体" w:hAnsi="楷体" w:eastAsia="楷体" w:cs="楷体"/>
          <w:color w:val="1F1F1F"/>
          <w:sz w:val="24"/>
          <w:szCs w:val="24"/>
        </w:rPr>
      </w:pPr>
      <w:r>
        <w:rPr>
          <w:rFonts w:hint="eastAsia" w:ascii="楷体" w:hAnsi="楷体" w:eastAsia="楷体" w:cs="楷体"/>
          <w:color w:val="1F1F1F"/>
          <w:sz w:val="24"/>
          <w:szCs w:val="24"/>
          <w:rtl w:val="0"/>
        </w:rPr>
        <w:t>在光进铜退的趋势下，CPO产品的最大难点在于</w:t>
      </w:r>
      <w:r>
        <w:rPr>
          <w:rFonts w:hint="eastAsia" w:ascii="楷体" w:hAnsi="楷体" w:eastAsia="楷体" w:cs="楷体"/>
          <w:b/>
          <w:bCs/>
          <w:color w:val="1F1F1F"/>
          <w:sz w:val="24"/>
          <w:szCs w:val="24"/>
          <w:rtl w:val="0"/>
        </w:rPr>
        <w:t>FAU与PIC光电集成电路的耦合端接</w:t>
      </w:r>
      <w:r>
        <w:rPr>
          <w:rFonts w:hint="eastAsia" w:ascii="楷体" w:hAnsi="楷体" w:eastAsia="楷体" w:cs="楷体"/>
          <w:color w:val="1F1F1F"/>
          <w:sz w:val="24"/>
          <w:szCs w:val="24"/>
          <w:rtl w:val="0"/>
        </w:rPr>
        <w:t>。康宁方案正是为了解决这一痛点：</w:t>
      </w:r>
    </w:p>
    <w:p w14:paraId="00000009">
      <w:pPr>
        <w:numPr>
          <w:ilvl w:val="0"/>
          <w:numId w:val="2"/>
        </w:num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line="360" w:lineRule="auto"/>
        <w:ind w:left="590" w:hanging="360"/>
        <w:rPr>
          <w:rFonts w:hint="eastAsia" w:ascii="楷体" w:hAnsi="楷体" w:eastAsia="楷体" w:cs="楷体"/>
          <w:sz w:val="24"/>
          <w:szCs w:val="24"/>
        </w:rPr>
      </w:pPr>
      <w:r>
        <w:rPr>
          <w:rFonts w:hint="eastAsia" w:ascii="楷体" w:hAnsi="楷体" w:eastAsia="楷体" w:cs="楷体"/>
          <w:b/>
          <w:bCs/>
          <w:color w:val="1F1F1F"/>
          <w:sz w:val="24"/>
          <w:szCs w:val="24"/>
          <w:rtl w:val="0"/>
        </w:rPr>
        <w:t>玻璃基板的作用（降维与引导）：</w:t>
      </w:r>
      <w:r>
        <w:rPr>
          <w:rFonts w:hint="eastAsia" w:ascii="楷体" w:hAnsi="楷体" w:eastAsia="楷体" w:cs="楷体"/>
          <w:color w:val="1F1F1F"/>
          <w:sz w:val="24"/>
          <w:szCs w:val="24"/>
          <w:rtl w:val="0"/>
        </w:rPr>
        <w:t xml:space="preserve"> 硅光芯片（PIC）端通道非常密集（如50μm间距），而光纤端较宽。康宁利用玻璃基板上的波导技术，将间距平滑过渡放大（扇出至250μm），降低了对准难度。</w:t>
      </w:r>
    </w:p>
    <w:p w14:paraId="0000000A">
      <w:pPr>
        <w:numPr>
          <w:ilvl w:val="0"/>
          <w:numId w:val="2"/>
        </w:num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line="360" w:lineRule="auto"/>
        <w:ind w:left="590" w:hanging="360"/>
        <w:rPr>
          <w:rFonts w:hint="eastAsia" w:ascii="楷体" w:hAnsi="楷体" w:eastAsia="楷体" w:cs="楷体"/>
          <w:sz w:val="24"/>
          <w:szCs w:val="24"/>
        </w:rPr>
      </w:pPr>
      <w:r>
        <w:rPr>
          <w:rFonts w:hint="eastAsia" w:ascii="楷体" w:hAnsi="楷体" w:eastAsia="楷体" w:cs="楷体"/>
          <w:b/>
          <w:bCs/>
          <w:color w:val="1F1F1F"/>
          <w:sz w:val="24"/>
          <w:szCs w:val="24"/>
          <w:rtl w:val="0"/>
        </w:rPr>
        <w:t>被动对准升级：</w:t>
      </w:r>
      <w:r>
        <w:rPr>
          <w:rFonts w:hint="eastAsia" w:ascii="楷体" w:hAnsi="楷体" w:eastAsia="楷体" w:cs="楷体"/>
          <w:color w:val="1F1F1F"/>
          <w:sz w:val="24"/>
          <w:szCs w:val="24"/>
          <w:rtl w:val="0"/>
        </w:rPr>
        <w:t xml:space="preserve"> 康宁开发了成套设备，通过引导针（类似于MPO的插孔式设计）实现公头和母头的一次性自动对齐，免去了人工干预。</w:t>
      </w:r>
    </w:p>
    <w:p w14:paraId="0000000B">
      <w:pPr>
        <w:numPr>
          <w:ilvl w:val="0"/>
          <w:numId w:val="2"/>
        </w:num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line="360" w:lineRule="auto"/>
        <w:ind w:left="590" w:hanging="360"/>
        <w:rPr>
          <w:rFonts w:hint="eastAsia" w:ascii="楷体" w:hAnsi="楷体" w:eastAsia="楷体" w:cs="楷体"/>
          <w:sz w:val="24"/>
          <w:szCs w:val="24"/>
        </w:rPr>
      </w:pPr>
      <w:r>
        <w:rPr>
          <w:rFonts w:hint="eastAsia" w:ascii="楷体" w:hAnsi="楷体" w:eastAsia="楷体" w:cs="楷体"/>
          <w:b/>
          <w:bCs/>
          <w:color w:val="1F1F1F"/>
          <w:sz w:val="24"/>
          <w:szCs w:val="24"/>
          <w:rtl w:val="0"/>
        </w:rPr>
        <w:t>可拆卸设计：</w:t>
      </w:r>
      <w:r>
        <w:rPr>
          <w:rFonts w:hint="eastAsia" w:ascii="楷体" w:hAnsi="楷体" w:eastAsia="楷体" w:cs="楷体"/>
          <w:color w:val="1F1F1F"/>
          <w:sz w:val="24"/>
          <w:szCs w:val="24"/>
          <w:rtl w:val="0"/>
        </w:rPr>
        <w:t xml:space="preserve"> 解决了传统方案“坏一颗全坏”的运维痛点，为CPO生产和运维提供了极大的便利。</w:t>
      </w:r>
    </w:p>
    <w:p w14:paraId="0000000C">
      <w:pPr>
        <w:pStyle w:val="3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after="0" w:line="360" w:lineRule="auto"/>
        <w:rPr>
          <w:rFonts w:hint="eastAsia" w:ascii="楷体" w:hAnsi="楷体" w:eastAsia="楷体" w:cs="楷体"/>
          <w:color w:val="1F1F1F"/>
          <w:sz w:val="24"/>
          <w:szCs w:val="24"/>
        </w:rPr>
      </w:pPr>
      <w:r>
        <w:rPr>
          <w:rFonts w:hint="eastAsia" w:ascii="楷体" w:hAnsi="楷体" w:eastAsia="楷体" w:cs="楷体"/>
          <w:color w:val="1F1F1F"/>
          <w:sz w:val="24"/>
          <w:szCs w:val="24"/>
          <w:rtl w:val="0"/>
        </w:rPr>
        <w:t>三、 耦合方案对比：主动耦合 vs 康宁被动耦合</w:t>
      </w:r>
    </w:p>
    <w:tbl>
      <w:tblPr>
        <w:tblStyle w:val="13"/>
        <w:tblW w:w="9576" w:type="dxa"/>
        <w:jc w:val="center"/>
        <w:tblBorders>
          <w:top w:val="none" w:color="C4C7C5" w:sz="6" w:space="0"/>
          <w:left w:val="none" w:color="C4C7C5" w:sz="6" w:space="0"/>
          <w:bottom w:val="none" w:color="C4C7C5" w:sz="6" w:space="0"/>
          <w:right w:val="none" w:color="C4C7C5" w:sz="6" w:space="0"/>
          <w:insideH w:val="none" w:color="C4C7C5" w:sz="6" w:space="0"/>
          <w:insideV w:val="none" w:color="C4C7C5" w:sz="6" w:space="0"/>
        </w:tblBorders>
        <w:tblLayout w:type="autofit"/>
        <w:tblCellMar>
          <w:top w:w="100" w:type="dxa"/>
          <w:left w:w="100" w:type="dxa"/>
          <w:bottom w:w="100" w:type="dxa"/>
          <w:right w:w="100" w:type="dxa"/>
        </w:tblCellMar>
      </w:tblPr>
      <w:tblGrid>
        <w:gridCol w:w="1353"/>
        <w:gridCol w:w="3965"/>
        <w:gridCol w:w="4258"/>
      </w:tblGrid>
      <w:tr w14:paraId="659B3495">
        <w:tblPrEx>
          <w:tblBorders>
            <w:top w:val="none" w:color="C4C7C5" w:sz="6" w:space="0"/>
            <w:left w:val="none" w:color="C4C7C5" w:sz="6" w:space="0"/>
            <w:bottom w:val="none" w:color="C4C7C5" w:sz="6" w:space="0"/>
            <w:right w:val="none" w:color="C4C7C5" w:sz="6" w:space="0"/>
            <w:insideH w:val="none" w:color="C4C7C5" w:sz="6" w:space="0"/>
            <w:insideV w:val="none" w:color="C4C7C5" w:sz="6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0" w:hRule="atLeast"/>
          <w:tblHeader/>
          <w:jc w:val="center"/>
        </w:trPr>
        <w:tc>
          <w:tcPr>
            <w:tcW w:w="1353" w:type="dxa"/>
            <w:tcBorders>
              <w:top w:val="single" w:color="C4C7C5" w:sz="12" w:space="0"/>
              <w:left w:val="nil"/>
              <w:bottom w:val="nil"/>
              <w:right w:val="nil"/>
            </w:tcBorders>
            <w:shd w:val="clear" w:color="auto" w:fill="auto"/>
            <w:noWrap w:val="0"/>
            <w:tcMar>
              <w:top w:w="120" w:type="dxa"/>
              <w:left w:w="180" w:type="dxa"/>
              <w:bottom w:w="120" w:type="dxa"/>
              <w:right w:w="180" w:type="dxa"/>
            </w:tcMar>
            <w:vAlign w:val="top"/>
          </w:tcPr>
          <w:p w14:paraId="0000000D"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napToGrid w:val="0"/>
              <w:spacing w:before="120" w:after="120" w:line="360" w:lineRule="auto"/>
              <w:rPr>
                <w:rFonts w:hint="eastAsia" w:ascii="楷体" w:hAnsi="楷体" w:eastAsia="楷体" w:cs="楷体"/>
                <w:b/>
                <w:bCs/>
                <w:color w:val="1F1F1F"/>
                <w:sz w:val="24"/>
                <w:szCs w:val="24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1F1F1F"/>
                <w:sz w:val="24"/>
                <w:szCs w:val="24"/>
                <w:rtl w:val="0"/>
              </w:rPr>
              <w:t>对比维度</w:t>
            </w:r>
          </w:p>
        </w:tc>
        <w:tc>
          <w:tcPr>
            <w:tcW w:w="3965" w:type="dxa"/>
            <w:tcBorders>
              <w:top w:val="single" w:color="C4C7C5" w:sz="12" w:space="0"/>
              <w:left w:val="nil"/>
              <w:bottom w:val="nil"/>
              <w:right w:val="nil"/>
            </w:tcBorders>
            <w:shd w:val="clear" w:color="auto" w:fill="auto"/>
            <w:noWrap w:val="0"/>
            <w:tcMar>
              <w:top w:w="120" w:type="dxa"/>
              <w:left w:w="180" w:type="dxa"/>
              <w:bottom w:w="120" w:type="dxa"/>
              <w:right w:w="180" w:type="dxa"/>
            </w:tcMar>
            <w:vAlign w:val="top"/>
          </w:tcPr>
          <w:p w14:paraId="0000000E"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napToGrid w:val="0"/>
              <w:spacing w:before="120" w:after="120" w:line="360" w:lineRule="auto"/>
              <w:rPr>
                <w:rFonts w:hint="eastAsia" w:ascii="楷体" w:hAnsi="楷体" w:eastAsia="楷体" w:cs="楷体"/>
                <w:b/>
                <w:bCs/>
                <w:color w:val="1F1F1F"/>
                <w:sz w:val="24"/>
                <w:szCs w:val="24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1F1F1F"/>
                <w:sz w:val="24"/>
                <w:szCs w:val="24"/>
                <w:rtl w:val="0"/>
              </w:rPr>
              <w:t>传统/现行方案（如炬光科技）</w:t>
            </w:r>
          </w:p>
        </w:tc>
        <w:tc>
          <w:tcPr>
            <w:tcW w:w="4257" w:type="dxa"/>
            <w:tcBorders>
              <w:top w:val="single" w:color="C4C7C5" w:sz="12" w:space="0"/>
              <w:left w:val="nil"/>
              <w:bottom w:val="nil"/>
              <w:right w:val="nil"/>
            </w:tcBorders>
            <w:shd w:val="clear" w:color="auto" w:fill="auto"/>
            <w:noWrap w:val="0"/>
            <w:tcMar>
              <w:top w:w="120" w:type="dxa"/>
              <w:left w:w="180" w:type="dxa"/>
              <w:bottom w:w="120" w:type="dxa"/>
              <w:right w:w="180" w:type="dxa"/>
            </w:tcMar>
            <w:vAlign w:val="top"/>
          </w:tcPr>
          <w:p w14:paraId="0000000F"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napToGrid w:val="0"/>
              <w:spacing w:before="120" w:after="120" w:line="360" w:lineRule="auto"/>
              <w:rPr>
                <w:rFonts w:hint="eastAsia" w:ascii="楷体" w:hAnsi="楷体" w:eastAsia="楷体" w:cs="楷体"/>
                <w:b/>
                <w:bCs/>
                <w:color w:val="1F1F1F"/>
                <w:sz w:val="24"/>
                <w:szCs w:val="24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1F1F1F"/>
                <w:sz w:val="24"/>
                <w:szCs w:val="24"/>
                <w:rtl w:val="0"/>
              </w:rPr>
              <w:t>康宁 Glass Bridge 方案</w:t>
            </w:r>
          </w:p>
        </w:tc>
      </w:tr>
      <w:tr w14:paraId="309C40C7">
        <w:tblPrEx>
          <w:tblBorders>
            <w:top w:val="none" w:color="C4C7C5" w:sz="6" w:space="0"/>
            <w:left w:val="none" w:color="C4C7C5" w:sz="6" w:space="0"/>
            <w:bottom w:val="none" w:color="C4C7C5" w:sz="6" w:space="0"/>
            <w:right w:val="none" w:color="C4C7C5" w:sz="6" w:space="0"/>
            <w:insideH w:val="none" w:color="C4C7C5" w:sz="6" w:space="0"/>
            <w:insideV w:val="none" w:color="C4C7C5" w:sz="6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0" w:hRule="atLeast"/>
          <w:tblHeader/>
          <w:jc w:val="center"/>
        </w:trPr>
        <w:tc>
          <w:tcPr>
            <w:tcW w:w="1353" w:type="dxa"/>
            <w:tcBorders>
              <w:top w:val="single" w:color="C4C7C5" w:sz="4" w:space="0"/>
              <w:left w:val="nil"/>
              <w:bottom w:val="nil"/>
              <w:right w:val="nil"/>
            </w:tcBorders>
            <w:shd w:val="clear" w:color="auto" w:fill="auto"/>
            <w:noWrap w:val="0"/>
            <w:tcMar>
              <w:top w:w="120" w:type="dxa"/>
              <w:left w:w="180" w:type="dxa"/>
              <w:bottom w:w="120" w:type="dxa"/>
              <w:right w:w="180" w:type="dxa"/>
            </w:tcMar>
            <w:vAlign w:val="top"/>
          </w:tcPr>
          <w:p w14:paraId="00000010"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napToGrid w:val="0"/>
              <w:spacing w:before="120" w:after="120" w:line="360" w:lineRule="auto"/>
              <w:rPr>
                <w:rFonts w:hint="eastAsia" w:ascii="楷体" w:hAnsi="楷体" w:eastAsia="楷体" w:cs="楷体"/>
                <w:b/>
                <w:bCs/>
                <w:color w:val="1F1F1F"/>
                <w:sz w:val="24"/>
                <w:szCs w:val="24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1F1F1F"/>
                <w:sz w:val="24"/>
                <w:szCs w:val="24"/>
                <w:rtl w:val="0"/>
              </w:rPr>
              <w:t>耦合方式</w:t>
            </w:r>
          </w:p>
        </w:tc>
        <w:tc>
          <w:tcPr>
            <w:tcW w:w="3965" w:type="dxa"/>
            <w:tcBorders>
              <w:top w:val="single" w:color="C4C7C5" w:sz="4" w:space="0"/>
              <w:left w:val="nil"/>
              <w:bottom w:val="nil"/>
              <w:right w:val="nil"/>
            </w:tcBorders>
            <w:shd w:val="clear" w:color="auto" w:fill="auto"/>
            <w:noWrap w:val="0"/>
            <w:tcMar>
              <w:top w:w="120" w:type="dxa"/>
              <w:left w:w="180" w:type="dxa"/>
              <w:bottom w:w="120" w:type="dxa"/>
              <w:right w:w="180" w:type="dxa"/>
            </w:tcMar>
            <w:vAlign w:val="top"/>
          </w:tcPr>
          <w:p w14:paraId="00000011"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napToGrid w:val="0"/>
              <w:spacing w:before="120" w:after="120" w:line="360" w:lineRule="auto"/>
              <w:rPr>
                <w:rFonts w:hint="eastAsia" w:ascii="楷体" w:hAnsi="楷体" w:eastAsia="楷体" w:cs="楷体"/>
                <w:color w:val="1F1F1F"/>
                <w:sz w:val="24"/>
                <w:szCs w:val="24"/>
              </w:rPr>
            </w:pPr>
            <w:r>
              <w:rPr>
                <w:rFonts w:hint="eastAsia" w:ascii="楷体" w:hAnsi="楷体" w:eastAsia="楷体" w:cs="楷体"/>
                <w:color w:val="1F1F1F"/>
                <w:sz w:val="24"/>
                <w:szCs w:val="24"/>
                <w:rtl w:val="0"/>
              </w:rPr>
              <w:t>主动耦合（需人工逐点对焦准直）</w:t>
            </w:r>
          </w:p>
        </w:tc>
        <w:tc>
          <w:tcPr>
            <w:tcW w:w="4257" w:type="dxa"/>
            <w:tcBorders>
              <w:top w:val="single" w:color="C4C7C5" w:sz="4" w:space="0"/>
              <w:left w:val="nil"/>
              <w:bottom w:val="nil"/>
              <w:right w:val="nil"/>
            </w:tcBorders>
            <w:shd w:val="clear" w:color="auto" w:fill="auto"/>
            <w:noWrap w:val="0"/>
            <w:tcMar>
              <w:top w:w="120" w:type="dxa"/>
              <w:left w:w="180" w:type="dxa"/>
              <w:bottom w:w="120" w:type="dxa"/>
              <w:right w:w="180" w:type="dxa"/>
            </w:tcMar>
            <w:vAlign w:val="top"/>
          </w:tcPr>
          <w:p w14:paraId="00000012"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napToGrid w:val="0"/>
              <w:spacing w:before="120" w:after="120" w:line="360" w:lineRule="auto"/>
              <w:rPr>
                <w:rFonts w:hint="eastAsia" w:ascii="楷体" w:hAnsi="楷体" w:eastAsia="楷体" w:cs="楷体"/>
                <w:color w:val="1F1F1F"/>
                <w:sz w:val="24"/>
                <w:szCs w:val="24"/>
              </w:rPr>
            </w:pPr>
            <w:r>
              <w:rPr>
                <w:rFonts w:hint="eastAsia" w:ascii="楷体" w:hAnsi="楷体" w:eastAsia="楷体" w:cs="楷体"/>
                <w:color w:val="1F1F1F"/>
                <w:sz w:val="24"/>
                <w:szCs w:val="24"/>
                <w:rtl w:val="0"/>
              </w:rPr>
              <w:t>被动对准（依靠引导孔/针自动对齐）</w:t>
            </w:r>
          </w:p>
        </w:tc>
      </w:tr>
      <w:tr w14:paraId="378C298E">
        <w:tblPrEx>
          <w:tblBorders>
            <w:top w:val="none" w:color="C4C7C5" w:sz="6" w:space="0"/>
            <w:left w:val="none" w:color="C4C7C5" w:sz="6" w:space="0"/>
            <w:bottom w:val="none" w:color="C4C7C5" w:sz="6" w:space="0"/>
            <w:right w:val="none" w:color="C4C7C5" w:sz="6" w:space="0"/>
            <w:insideH w:val="none" w:color="C4C7C5" w:sz="6" w:space="0"/>
            <w:insideV w:val="none" w:color="C4C7C5" w:sz="6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0" w:hRule="atLeast"/>
          <w:tblHeader/>
          <w:jc w:val="center"/>
        </w:trPr>
        <w:tc>
          <w:tcPr>
            <w:tcW w:w="13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 w:val="0"/>
            <w:tcMar>
              <w:top w:w="120" w:type="dxa"/>
              <w:left w:w="180" w:type="dxa"/>
              <w:bottom w:w="120" w:type="dxa"/>
              <w:right w:w="180" w:type="dxa"/>
            </w:tcMar>
            <w:vAlign w:val="top"/>
          </w:tcPr>
          <w:p w14:paraId="00000013"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napToGrid w:val="0"/>
              <w:spacing w:before="120" w:after="120" w:line="360" w:lineRule="auto"/>
              <w:rPr>
                <w:rFonts w:hint="eastAsia" w:ascii="楷体" w:hAnsi="楷体" w:eastAsia="楷体" w:cs="楷体"/>
                <w:b/>
                <w:bCs/>
                <w:color w:val="1F1F1F"/>
                <w:sz w:val="24"/>
                <w:szCs w:val="24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1F1F1F"/>
                <w:sz w:val="24"/>
                <w:szCs w:val="24"/>
                <w:rtl w:val="0"/>
              </w:rPr>
              <w:t>生产效率</w:t>
            </w:r>
          </w:p>
        </w:tc>
        <w:tc>
          <w:tcPr>
            <w:tcW w:w="39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 w:val="0"/>
            <w:tcMar>
              <w:top w:w="120" w:type="dxa"/>
              <w:left w:w="180" w:type="dxa"/>
              <w:bottom w:w="120" w:type="dxa"/>
              <w:right w:w="180" w:type="dxa"/>
            </w:tcMar>
            <w:vAlign w:val="top"/>
          </w:tcPr>
          <w:p w14:paraId="00000014"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napToGrid w:val="0"/>
              <w:spacing w:before="120" w:after="120" w:line="360" w:lineRule="auto"/>
              <w:rPr>
                <w:rFonts w:hint="eastAsia" w:ascii="楷体" w:hAnsi="楷体" w:eastAsia="楷体" w:cs="楷体"/>
                <w:color w:val="1F1F1F"/>
                <w:sz w:val="24"/>
                <w:szCs w:val="24"/>
              </w:rPr>
            </w:pPr>
            <w:r>
              <w:rPr>
                <w:rFonts w:hint="eastAsia" w:ascii="楷体" w:hAnsi="楷体" w:eastAsia="楷体" w:cs="楷体"/>
                <w:color w:val="1F1F1F"/>
                <w:sz w:val="24"/>
                <w:szCs w:val="24"/>
                <w:rtl w:val="0"/>
              </w:rPr>
              <w:t>通道越多耗时越长，产能易受限</w:t>
            </w:r>
          </w:p>
        </w:tc>
        <w:tc>
          <w:tcPr>
            <w:tcW w:w="42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 w:val="0"/>
            <w:tcMar>
              <w:top w:w="120" w:type="dxa"/>
              <w:left w:w="180" w:type="dxa"/>
              <w:bottom w:w="120" w:type="dxa"/>
              <w:right w:w="180" w:type="dxa"/>
            </w:tcMar>
            <w:vAlign w:val="top"/>
          </w:tcPr>
          <w:p w14:paraId="00000015"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napToGrid w:val="0"/>
              <w:spacing w:before="120" w:after="120" w:line="360" w:lineRule="auto"/>
              <w:rPr>
                <w:rFonts w:hint="eastAsia" w:ascii="楷体" w:hAnsi="楷体" w:eastAsia="楷体" w:cs="楷体"/>
                <w:color w:val="1F1F1F"/>
                <w:sz w:val="24"/>
                <w:szCs w:val="24"/>
              </w:rPr>
            </w:pPr>
            <w:r>
              <w:rPr>
                <w:rFonts w:hint="eastAsia" w:ascii="楷体" w:hAnsi="楷体" w:eastAsia="楷体" w:cs="楷体"/>
                <w:color w:val="1F1F1F"/>
                <w:sz w:val="24"/>
                <w:szCs w:val="24"/>
                <w:rtl w:val="0"/>
              </w:rPr>
              <w:t>一次性对准，生产效率大幅提高</w:t>
            </w:r>
          </w:p>
        </w:tc>
      </w:tr>
      <w:tr w14:paraId="43D87908">
        <w:tblPrEx>
          <w:tblBorders>
            <w:top w:val="none" w:color="C4C7C5" w:sz="6" w:space="0"/>
            <w:left w:val="none" w:color="C4C7C5" w:sz="6" w:space="0"/>
            <w:bottom w:val="none" w:color="C4C7C5" w:sz="6" w:space="0"/>
            <w:right w:val="none" w:color="C4C7C5" w:sz="6" w:space="0"/>
            <w:insideH w:val="none" w:color="C4C7C5" w:sz="6" w:space="0"/>
            <w:insideV w:val="none" w:color="C4C7C5" w:sz="6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0" w:hRule="atLeast"/>
          <w:tblHeader/>
          <w:jc w:val="center"/>
        </w:trPr>
        <w:tc>
          <w:tcPr>
            <w:tcW w:w="13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 w:val="0"/>
            <w:tcMar>
              <w:top w:w="120" w:type="dxa"/>
              <w:left w:w="180" w:type="dxa"/>
              <w:bottom w:w="120" w:type="dxa"/>
              <w:right w:w="180" w:type="dxa"/>
            </w:tcMar>
            <w:vAlign w:val="top"/>
          </w:tcPr>
          <w:p w14:paraId="00000016"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napToGrid w:val="0"/>
              <w:spacing w:before="120" w:after="120" w:line="360" w:lineRule="auto"/>
              <w:rPr>
                <w:rFonts w:hint="eastAsia" w:ascii="楷体" w:hAnsi="楷体" w:eastAsia="楷体" w:cs="楷体"/>
                <w:b/>
                <w:bCs/>
                <w:color w:val="1F1F1F"/>
                <w:sz w:val="24"/>
                <w:szCs w:val="24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1F1F1F"/>
                <w:sz w:val="24"/>
                <w:szCs w:val="24"/>
                <w:rtl w:val="0"/>
              </w:rPr>
              <w:t>公差控制</w:t>
            </w:r>
          </w:p>
        </w:tc>
        <w:tc>
          <w:tcPr>
            <w:tcW w:w="39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 w:val="0"/>
            <w:tcMar>
              <w:top w:w="120" w:type="dxa"/>
              <w:left w:w="180" w:type="dxa"/>
              <w:bottom w:w="120" w:type="dxa"/>
              <w:right w:w="180" w:type="dxa"/>
            </w:tcMar>
            <w:vAlign w:val="top"/>
          </w:tcPr>
          <w:p w14:paraId="00000017"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napToGrid w:val="0"/>
              <w:spacing w:before="120" w:after="120" w:line="360" w:lineRule="auto"/>
              <w:rPr>
                <w:rFonts w:hint="eastAsia" w:ascii="楷体" w:hAnsi="楷体" w:eastAsia="楷体" w:cs="楷体"/>
                <w:color w:val="1F1F1F"/>
                <w:sz w:val="24"/>
                <w:szCs w:val="24"/>
              </w:rPr>
            </w:pPr>
            <w:r>
              <w:rPr>
                <w:rFonts w:hint="eastAsia" w:ascii="楷体" w:hAnsi="楷体" w:eastAsia="楷体" w:cs="楷体"/>
                <w:color w:val="1F1F1F"/>
                <w:sz w:val="24"/>
                <w:szCs w:val="24"/>
                <w:rtl w:val="0"/>
              </w:rPr>
              <w:t>微型槽人工粘贴，累积公差大</w:t>
            </w:r>
          </w:p>
        </w:tc>
        <w:tc>
          <w:tcPr>
            <w:tcW w:w="42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 w:val="0"/>
            <w:tcMar>
              <w:top w:w="120" w:type="dxa"/>
              <w:left w:w="180" w:type="dxa"/>
              <w:bottom w:w="120" w:type="dxa"/>
              <w:right w:w="180" w:type="dxa"/>
            </w:tcMar>
            <w:vAlign w:val="top"/>
          </w:tcPr>
          <w:p w14:paraId="00000018"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napToGrid w:val="0"/>
              <w:spacing w:before="120" w:after="120" w:line="360" w:lineRule="auto"/>
              <w:rPr>
                <w:rFonts w:hint="eastAsia" w:ascii="楷体" w:hAnsi="楷体" w:eastAsia="楷体" w:cs="楷体"/>
                <w:color w:val="1F1F1F"/>
                <w:sz w:val="24"/>
                <w:szCs w:val="24"/>
              </w:rPr>
            </w:pPr>
            <w:r>
              <w:rPr>
                <w:rFonts w:hint="eastAsia" w:ascii="楷体" w:hAnsi="楷体" w:eastAsia="楷体" w:cs="楷体"/>
                <w:color w:val="1F1F1F"/>
                <w:sz w:val="24"/>
                <w:szCs w:val="24"/>
                <w:rtl w:val="0"/>
              </w:rPr>
              <w:t>晶圆级制造，有效解决公差累积问题</w:t>
            </w:r>
          </w:p>
        </w:tc>
      </w:tr>
      <w:tr w14:paraId="4F9CF381">
        <w:tblPrEx>
          <w:tblBorders>
            <w:top w:val="none" w:color="C4C7C5" w:sz="6" w:space="0"/>
            <w:left w:val="none" w:color="C4C7C5" w:sz="6" w:space="0"/>
            <w:bottom w:val="none" w:color="C4C7C5" w:sz="6" w:space="0"/>
            <w:right w:val="none" w:color="C4C7C5" w:sz="6" w:space="0"/>
            <w:insideH w:val="none" w:color="C4C7C5" w:sz="6" w:space="0"/>
            <w:insideV w:val="none" w:color="C4C7C5" w:sz="6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0" w:hRule="atLeast"/>
          <w:tblHeader/>
          <w:jc w:val="center"/>
        </w:trPr>
        <w:tc>
          <w:tcPr>
            <w:tcW w:w="1353" w:type="dxa"/>
            <w:tcBorders>
              <w:top w:val="nil"/>
              <w:left w:val="nil"/>
              <w:bottom w:val="single" w:color="C4C7C5" w:sz="12" w:space="0"/>
              <w:right w:val="nil"/>
            </w:tcBorders>
            <w:shd w:val="clear" w:color="auto" w:fill="auto"/>
            <w:noWrap w:val="0"/>
            <w:tcMar>
              <w:top w:w="120" w:type="dxa"/>
              <w:left w:w="180" w:type="dxa"/>
              <w:bottom w:w="120" w:type="dxa"/>
              <w:right w:w="180" w:type="dxa"/>
            </w:tcMar>
            <w:vAlign w:val="top"/>
          </w:tcPr>
          <w:p w14:paraId="00000019"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napToGrid w:val="0"/>
              <w:spacing w:before="120" w:after="120" w:line="360" w:lineRule="auto"/>
              <w:rPr>
                <w:rFonts w:hint="eastAsia" w:ascii="楷体" w:hAnsi="楷体" w:eastAsia="楷体" w:cs="楷体"/>
                <w:b/>
                <w:bCs/>
                <w:color w:val="1F1F1F"/>
                <w:sz w:val="24"/>
                <w:szCs w:val="24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1F1F1F"/>
                <w:sz w:val="24"/>
                <w:szCs w:val="24"/>
                <w:rtl w:val="0"/>
              </w:rPr>
              <w:t>可维护性</w:t>
            </w:r>
          </w:p>
        </w:tc>
        <w:tc>
          <w:tcPr>
            <w:tcW w:w="3965" w:type="dxa"/>
            <w:tcBorders>
              <w:top w:val="nil"/>
              <w:left w:val="nil"/>
              <w:bottom w:val="single" w:color="C4C7C5" w:sz="12" w:space="0"/>
              <w:right w:val="nil"/>
            </w:tcBorders>
            <w:shd w:val="clear" w:color="auto" w:fill="auto"/>
            <w:noWrap w:val="0"/>
            <w:tcMar>
              <w:top w:w="120" w:type="dxa"/>
              <w:left w:w="180" w:type="dxa"/>
              <w:bottom w:w="120" w:type="dxa"/>
              <w:right w:w="180" w:type="dxa"/>
            </w:tcMar>
            <w:vAlign w:val="top"/>
          </w:tcPr>
          <w:p w14:paraId="0000001A"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napToGrid w:val="0"/>
              <w:spacing w:before="120" w:after="120" w:line="360" w:lineRule="auto"/>
              <w:rPr>
                <w:rFonts w:hint="eastAsia" w:ascii="楷体" w:hAnsi="楷体" w:eastAsia="楷体" w:cs="楷体"/>
                <w:color w:val="1F1F1F"/>
                <w:sz w:val="24"/>
                <w:szCs w:val="24"/>
              </w:rPr>
            </w:pPr>
            <w:r>
              <w:rPr>
                <w:rFonts w:hint="eastAsia" w:ascii="楷体" w:hAnsi="楷体" w:eastAsia="楷体" w:cs="楷体"/>
                <w:color w:val="1F1F1F"/>
                <w:sz w:val="24"/>
                <w:szCs w:val="24"/>
                <w:rtl w:val="0"/>
              </w:rPr>
              <w:t>不可拆卸（坏一颗需全换）</w:t>
            </w:r>
          </w:p>
        </w:tc>
        <w:tc>
          <w:tcPr>
            <w:tcW w:w="4257" w:type="dxa"/>
            <w:tcBorders>
              <w:top w:val="nil"/>
              <w:left w:val="nil"/>
              <w:bottom w:val="single" w:color="C4C7C5" w:sz="12" w:space="0"/>
              <w:right w:val="nil"/>
            </w:tcBorders>
            <w:shd w:val="clear" w:color="auto" w:fill="auto"/>
            <w:noWrap w:val="0"/>
            <w:tcMar>
              <w:top w:w="120" w:type="dxa"/>
              <w:left w:w="180" w:type="dxa"/>
              <w:bottom w:w="120" w:type="dxa"/>
              <w:right w:w="180" w:type="dxa"/>
            </w:tcMar>
            <w:vAlign w:val="top"/>
          </w:tcPr>
          <w:p w14:paraId="0000001B"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napToGrid w:val="0"/>
              <w:spacing w:before="120" w:after="120" w:line="360" w:lineRule="auto"/>
              <w:rPr>
                <w:rFonts w:hint="eastAsia" w:ascii="楷体" w:hAnsi="楷体" w:eastAsia="楷体" w:cs="楷体"/>
                <w:color w:val="1F1F1F"/>
                <w:sz w:val="24"/>
                <w:szCs w:val="24"/>
              </w:rPr>
            </w:pPr>
            <w:r>
              <w:rPr>
                <w:rFonts w:hint="eastAsia" w:ascii="楷体" w:hAnsi="楷体" w:eastAsia="楷体" w:cs="楷体"/>
                <w:color w:val="1F1F1F"/>
                <w:sz w:val="24"/>
                <w:szCs w:val="24"/>
                <w:rtl w:val="0"/>
              </w:rPr>
              <w:t>可拆卸（Detachable），运维成本低</w:t>
            </w:r>
          </w:p>
        </w:tc>
      </w:tr>
    </w:tbl>
    <w:p w14:paraId="0000001C">
      <w:pPr>
        <w:pStyle w:val="3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480" w:after="0" w:line="360" w:lineRule="auto"/>
        <w:rPr>
          <w:rFonts w:hint="eastAsia" w:ascii="楷体" w:hAnsi="楷体" w:eastAsia="楷体" w:cs="楷体"/>
          <w:color w:val="1F1F1F"/>
          <w:sz w:val="24"/>
          <w:szCs w:val="24"/>
        </w:rPr>
      </w:pPr>
      <w:r>
        <w:rPr>
          <w:rFonts w:hint="eastAsia" w:ascii="楷体" w:hAnsi="楷体" w:eastAsia="楷体" w:cs="楷体"/>
          <w:color w:val="1F1F1F"/>
          <w:sz w:val="24"/>
          <w:szCs w:val="24"/>
          <w:rtl w:val="0"/>
        </w:rPr>
        <w:t>四、 产业链影响及投资逻辑判断</w:t>
      </w:r>
    </w:p>
    <w:p w14:paraId="0000001D">
      <w:pPr>
        <w:numPr>
          <w:ilvl w:val="0"/>
          <w:numId w:val="3"/>
        </w:num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line="360" w:lineRule="auto"/>
        <w:ind w:left="590" w:hanging="360"/>
        <w:rPr>
          <w:rFonts w:hint="eastAsia" w:ascii="楷体" w:hAnsi="楷体" w:eastAsia="楷体" w:cs="楷体"/>
          <w:sz w:val="24"/>
          <w:szCs w:val="24"/>
        </w:rPr>
      </w:pPr>
      <w:r>
        <w:rPr>
          <w:rFonts w:hint="eastAsia" w:ascii="楷体" w:hAnsi="楷体" w:eastAsia="楷体" w:cs="楷体"/>
          <w:b/>
          <w:bCs/>
          <w:color w:val="1F1F1F"/>
          <w:sz w:val="24"/>
          <w:szCs w:val="24"/>
          <w:rtl w:val="0"/>
        </w:rPr>
        <w:t>对FAU的影响（利好/强化）：</w:t>
      </w:r>
      <w:r>
        <w:rPr>
          <w:rFonts w:hint="eastAsia" w:ascii="楷体" w:hAnsi="楷体" w:eastAsia="楷体" w:cs="楷体"/>
          <w:color w:val="1F1F1F"/>
          <w:sz w:val="24"/>
          <w:szCs w:val="24"/>
          <w:rtl w:val="0"/>
        </w:rPr>
        <w:t xml:space="preserve"> 康宁方案中的“光纤连接器/多芯带光纤”本质上依然是FAU。方案的升级标志着FAU正在向D-FAU（可拆卸FAU）演进。未来CPO场景下，可拆卸D-FAU的价值量和壁垒将显著高于传统不可拆卸产品。</w:t>
      </w:r>
    </w:p>
    <w:p w14:paraId="0000001E">
      <w:pPr>
        <w:numPr>
          <w:ilvl w:val="0"/>
          <w:numId w:val="3"/>
        </w:num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line="360" w:lineRule="auto"/>
        <w:ind w:left="590" w:hanging="360"/>
        <w:rPr>
          <w:rFonts w:hint="eastAsia" w:ascii="楷体" w:hAnsi="楷体" w:eastAsia="楷体" w:cs="楷体"/>
          <w:sz w:val="24"/>
          <w:szCs w:val="24"/>
        </w:rPr>
      </w:pPr>
      <w:r>
        <w:rPr>
          <w:rFonts w:hint="eastAsia" w:ascii="楷体" w:hAnsi="楷体" w:eastAsia="楷体" w:cs="楷体"/>
          <w:b/>
          <w:bCs/>
          <w:color w:val="1F1F1F"/>
          <w:sz w:val="24"/>
          <w:szCs w:val="24"/>
          <w:rtl w:val="0"/>
        </w:rPr>
        <w:t>对玻璃基板的影响（利好）：</w:t>
      </w:r>
      <w:r>
        <w:rPr>
          <w:rFonts w:hint="eastAsia" w:ascii="楷体" w:hAnsi="楷体" w:eastAsia="楷体" w:cs="楷体"/>
          <w:color w:val="1F1F1F"/>
          <w:sz w:val="24"/>
          <w:szCs w:val="24"/>
          <w:rtl w:val="0"/>
        </w:rPr>
        <w:t xml:space="preserve"> 康宁与GlobalFoundries的合作表明，将PIC与波导集成在玻璃衬底上的混合耦合方案具有极大潜力，该方案直接利好玻璃基板产业链。</w:t>
      </w:r>
    </w:p>
    <w:p w14:paraId="0000001F">
      <w:pPr>
        <w:numPr>
          <w:ilvl w:val="0"/>
          <w:numId w:val="3"/>
        </w:num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line="360" w:lineRule="auto"/>
        <w:ind w:left="590" w:hanging="360"/>
        <w:rPr>
          <w:rFonts w:hint="eastAsia" w:ascii="楷体" w:hAnsi="楷体" w:eastAsia="楷体" w:cs="楷体"/>
          <w:sz w:val="24"/>
          <w:szCs w:val="24"/>
        </w:rPr>
      </w:pPr>
      <w:r>
        <w:rPr>
          <w:rFonts w:hint="eastAsia" w:ascii="楷体" w:hAnsi="楷体" w:eastAsia="楷体" w:cs="楷体"/>
          <w:b/>
          <w:bCs/>
          <w:color w:val="1F1F1F"/>
          <w:sz w:val="24"/>
          <w:szCs w:val="24"/>
          <w:rtl w:val="0"/>
        </w:rPr>
        <w:t>对MPO的影响（无影响/持续看好）：</w:t>
      </w:r>
      <w:r>
        <w:rPr>
          <w:rFonts w:hint="eastAsia" w:ascii="楷体" w:hAnsi="楷体" w:eastAsia="楷体" w:cs="楷体"/>
          <w:color w:val="1F1F1F"/>
          <w:sz w:val="24"/>
          <w:szCs w:val="24"/>
          <w:rtl w:val="0"/>
        </w:rPr>
        <w:t xml:space="preserve"> 康宁方案主要解决的是CPO内部芯片级的端接问题，对外部传输的MPO没有任何利空。</w:t>
      </w:r>
    </w:p>
    <w:p w14:paraId="00000020">
      <w:pPr>
        <w:numPr>
          <w:ilvl w:val="0"/>
          <w:numId w:val="3"/>
        </w:num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line="360" w:lineRule="auto"/>
        <w:ind w:left="590" w:hanging="360"/>
        <w:rPr>
          <w:rFonts w:hint="eastAsia" w:ascii="楷体" w:hAnsi="楷体" w:eastAsia="楷体" w:cs="楷体"/>
          <w:sz w:val="24"/>
          <w:szCs w:val="24"/>
        </w:rPr>
      </w:pPr>
      <w:r>
        <w:rPr>
          <w:rFonts w:hint="eastAsia" w:ascii="楷体" w:hAnsi="楷体" w:eastAsia="楷体" w:cs="楷体"/>
          <w:b/>
          <w:bCs/>
          <w:color w:val="1F1F1F"/>
          <w:sz w:val="24"/>
          <w:szCs w:val="24"/>
          <w:rtl w:val="0"/>
        </w:rPr>
        <w:t>无源超级周期逻辑不变：</w:t>
      </w:r>
      <w:r>
        <w:rPr>
          <w:rFonts w:hint="eastAsia" w:ascii="楷体" w:hAnsi="楷体" w:eastAsia="楷体" w:cs="楷体"/>
          <w:color w:val="1F1F1F"/>
          <w:sz w:val="24"/>
          <w:szCs w:val="24"/>
          <w:rtl w:val="0"/>
        </w:rPr>
        <w:t xml:space="preserve"> 随着英伟达架构从Blackwell向Rubin演进（双</w:t>
      </w:r>
      <w:r>
        <w:rPr>
          <w:rFonts w:hint="eastAsia" w:ascii="楷体" w:hAnsi="楷体" w:eastAsia="楷体" w:cs="楷体"/>
          <w:color w:val="1F1F1F"/>
          <w:sz w:val="24"/>
          <w:szCs w:val="24"/>
          <w:rtl w:val="0"/>
          <w:lang w:val="en-US" w:eastAsia="zh-CN"/>
        </w:rPr>
        <w:t>OI</w:t>
      </w:r>
      <w:r>
        <w:rPr>
          <w:rFonts w:hint="eastAsia" w:ascii="楷体" w:hAnsi="楷体" w:eastAsia="楷体" w:cs="楷体"/>
          <w:color w:val="1F1F1F"/>
          <w:sz w:val="24"/>
          <w:szCs w:val="24"/>
          <w:rtl w:val="0"/>
        </w:rPr>
        <w:t>至四</w:t>
      </w:r>
      <w:r>
        <w:rPr>
          <w:rFonts w:hint="eastAsia" w:ascii="楷体" w:hAnsi="楷体" w:eastAsia="楷体" w:cs="楷体"/>
          <w:color w:val="1F1F1F"/>
          <w:sz w:val="24"/>
          <w:szCs w:val="24"/>
          <w:rtl w:val="0"/>
          <w:lang w:val="en-US" w:eastAsia="zh-CN"/>
        </w:rPr>
        <w:t>OI</w:t>
      </w:r>
      <w:r>
        <w:rPr>
          <w:rFonts w:hint="eastAsia" w:ascii="楷体" w:hAnsi="楷体" w:eastAsia="楷体" w:cs="楷体"/>
          <w:color w:val="1F1F1F"/>
          <w:sz w:val="24"/>
          <w:szCs w:val="24"/>
          <w:rtl w:val="0"/>
        </w:rPr>
        <w:t>），以及以太网向InfiniBand方向发展，对MPO、FAU、CW光源的需求呈倍数级增长。若CPO渗透率提升，叠加D-FAU方案，无源器件的Beta逻辑将更加强化。</w:t>
      </w:r>
    </w:p>
    <w:p w14:paraId="00000022">
      <w:p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line="360" w:lineRule="auto"/>
        <w:rPr>
          <w:rFonts w:hint="eastAsia" w:ascii="楷体" w:hAnsi="楷体" w:eastAsia="楷体" w:cs="楷体"/>
          <w:color w:val="1F1F1F"/>
          <w:sz w:val="24"/>
          <w:szCs w:val="24"/>
        </w:rPr>
      </w:pPr>
    </w:p>
    <w:sectPr>
      <w:pgSz w:w="12240" w:h="15840"/>
      <w:pgMar w:top="1440" w:right="1440" w:bottom="1440" w:left="1440" w:header="0" w:footer="720" w:gutter="0"/>
      <w:pgNumType w:start="1"/>
      <w:cols w:space="720" w:num="1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1" w:fontKey="{EBC54181-CB23-4936-8B17-008EB94705B6}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  <w:embedRegular r:id="rId2" w:fontKey="{C1ECA358-928A-4577-BD79-2407D6D62FE0}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  <w:embedRegular r:id="rId3" w:fontKey="{21CC31DF-790A-4EA2-B973-3F44F13A9F11}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  <w:embedRegular r:id="rId4" w:fontKey="{EE96BA5F-9E40-49F4-9E4B-1C59ED63AAF1}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  <w:embedRegular r:id="rId5" w:fontKey="{D482C7E0-CF97-441D-BC8E-092A1D6C349D}"/>
  </w:font>
  <w:font w:name="Arial">
    <w:panose1 w:val="020B0604020202020204"/>
    <w:charset w:val="86"/>
    <w:family w:val="auto"/>
    <w:pitch w:val="default"/>
    <w:sig w:usb0="E0002EFF" w:usb1="C000785B" w:usb2="00000009" w:usb3="00000000" w:csb0="400001FF" w:csb1="FFFF0000"/>
    <w:embedRegular r:id="rId6" w:fontKey="{6D4D805C-B641-4CB9-9442-A0024E8E390C}"/>
  </w:font>
  <w:font w:name="Georgia">
    <w:panose1 w:val="02040502050405020303"/>
    <w:charset w:val="00"/>
    <w:family w:val="auto"/>
    <w:pitch w:val="default"/>
    <w:sig w:usb0="00000287" w:usb1="00000000" w:usb2="00000000" w:usb3="00000000" w:csb0="2000009F" w:csb1="00000000"/>
    <w:embedRegular r:id="rId7" w:fontKey="{26E09378-3892-4520-950D-3933C8A230A9}"/>
  </w:font>
  <w:font w:name="Google Sans">
    <w:altName w:val="FFont-Family"/>
    <w:panose1 w:val="00000000000000000000"/>
    <w:charset w:val="00"/>
    <w:family w:val="auto"/>
    <w:pitch w:val="default"/>
    <w:sig w:usb0="00000000" w:usb1="00000000" w:usb2="00000000" w:usb3="00000000" w:csb0="00000000" w:csb1="00000000"/>
    <w:embedRegular r:id="rId8" w:fontKey="{B2B3B553-0538-45C1-B335-A2778962A89A}"/>
  </w:font>
  <w:font w:name="FFont-Family">
    <w:panose1 w:val="02000509000000000000"/>
    <w:charset w:val="00"/>
    <w:family w:val="auto"/>
    <w:pitch w:val="default"/>
    <w:sig w:usb0="00000001" w:usb1="00000000" w:usb2="00000000" w:usb3="00000000" w:csb0="00000001" w:csb1="00000000"/>
    <w:embedRegular r:id="rId9" w:fontKey="{ABAFA507-C9EC-4FC3-940B-DF787728C5A7}"/>
  </w:font>
  <w:font w:name="楷体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10" w:fontKey="{68A0EDD1-6C43-4ABC-82D8-558D32400FA1}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CF092B84"/>
    <w:multiLevelType w:val="multilevel"/>
    <w:tmpl w:val="CF092B84"/>
    <w:lvl w:ilvl="0" w:tentative="0">
      <w:start w:val="1"/>
      <w:numFmt w:val="bullet"/>
      <w:lvlText w:val="●"/>
      <w:lvlJc w:val="left"/>
      <w:pPr>
        <w:ind w:left="590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</w:rPr>
    </w:lvl>
    <w:lvl w:ilvl="1" w:tentative="0">
      <w:start w:val="1"/>
      <w:numFmt w:val="bullet"/>
      <w:lvlText w:val="○"/>
      <w:lvlJc w:val="left"/>
      <w:pPr>
        <w:ind w:left="1440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</w:rPr>
    </w:lvl>
    <w:lvl w:ilvl="2" w:tentative="0">
      <w:start w:val="1"/>
      <w:numFmt w:val="bullet"/>
      <w:lvlText w:val="■"/>
      <w:lvlJc w:val="left"/>
      <w:pPr>
        <w:ind w:left="2160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</w:rPr>
    </w:lvl>
    <w:lvl w:ilvl="3" w:tentative="0">
      <w:start w:val="1"/>
      <w:numFmt w:val="bullet"/>
      <w:lvlText w:val="■"/>
      <w:lvlJc w:val="left"/>
      <w:pPr>
        <w:ind w:left="2880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</w:rPr>
    </w:lvl>
    <w:lvl w:ilvl="4" w:tentative="0">
      <w:start w:val="1"/>
      <w:numFmt w:val="bullet"/>
      <w:lvlText w:val="■"/>
      <w:lvlJc w:val="left"/>
      <w:pPr>
        <w:ind w:left="3600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</w:rPr>
    </w:lvl>
    <w:lvl w:ilvl="5" w:tentative="0">
      <w:start w:val="1"/>
      <w:numFmt w:val="bullet"/>
      <w:lvlText w:val="■"/>
      <w:lvlJc w:val="left"/>
      <w:pPr>
        <w:ind w:left="4320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</w:rPr>
    </w:lvl>
    <w:lvl w:ilvl="6" w:tentative="0">
      <w:start w:val="1"/>
      <w:numFmt w:val="bullet"/>
      <w:lvlText w:val="■"/>
      <w:lvlJc w:val="left"/>
      <w:pPr>
        <w:ind w:left="5040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</w:rPr>
    </w:lvl>
    <w:lvl w:ilvl="7" w:tentative="0">
      <w:start w:val="1"/>
      <w:numFmt w:val="bullet"/>
      <w:lvlText w:val="■"/>
      <w:lvlJc w:val="left"/>
      <w:pPr>
        <w:ind w:left="5760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</w:rPr>
    </w:lvl>
    <w:lvl w:ilvl="8" w:tentative="0">
      <w:start w:val="1"/>
      <w:numFmt w:val="bullet"/>
      <w:lvlText w:val="■"/>
      <w:lvlJc w:val="left"/>
      <w:pPr>
        <w:ind w:left="6480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</w:rPr>
    </w:lvl>
  </w:abstractNum>
  <w:abstractNum w:abstractNumId="1">
    <w:nsid w:val="0053208E"/>
    <w:multiLevelType w:val="multilevel"/>
    <w:tmpl w:val="0053208E"/>
    <w:lvl w:ilvl="0" w:tentative="0">
      <w:start w:val="1"/>
      <w:numFmt w:val="bullet"/>
      <w:lvlText w:val="●"/>
      <w:lvlJc w:val="left"/>
      <w:pPr>
        <w:ind w:left="590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</w:rPr>
    </w:lvl>
    <w:lvl w:ilvl="1" w:tentative="0">
      <w:start w:val="1"/>
      <w:numFmt w:val="bullet"/>
      <w:lvlText w:val="○"/>
      <w:lvlJc w:val="left"/>
      <w:pPr>
        <w:ind w:left="1440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</w:rPr>
    </w:lvl>
    <w:lvl w:ilvl="2" w:tentative="0">
      <w:start w:val="1"/>
      <w:numFmt w:val="bullet"/>
      <w:lvlText w:val="■"/>
      <w:lvlJc w:val="left"/>
      <w:pPr>
        <w:ind w:left="2160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</w:rPr>
    </w:lvl>
    <w:lvl w:ilvl="3" w:tentative="0">
      <w:start w:val="1"/>
      <w:numFmt w:val="bullet"/>
      <w:lvlText w:val="■"/>
      <w:lvlJc w:val="left"/>
      <w:pPr>
        <w:ind w:left="2880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</w:rPr>
    </w:lvl>
    <w:lvl w:ilvl="4" w:tentative="0">
      <w:start w:val="1"/>
      <w:numFmt w:val="bullet"/>
      <w:lvlText w:val="■"/>
      <w:lvlJc w:val="left"/>
      <w:pPr>
        <w:ind w:left="3600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</w:rPr>
    </w:lvl>
    <w:lvl w:ilvl="5" w:tentative="0">
      <w:start w:val="1"/>
      <w:numFmt w:val="bullet"/>
      <w:lvlText w:val="■"/>
      <w:lvlJc w:val="left"/>
      <w:pPr>
        <w:ind w:left="4320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</w:rPr>
    </w:lvl>
    <w:lvl w:ilvl="6" w:tentative="0">
      <w:start w:val="1"/>
      <w:numFmt w:val="bullet"/>
      <w:lvlText w:val="■"/>
      <w:lvlJc w:val="left"/>
      <w:pPr>
        <w:ind w:left="5040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</w:rPr>
    </w:lvl>
    <w:lvl w:ilvl="7" w:tentative="0">
      <w:start w:val="1"/>
      <w:numFmt w:val="bullet"/>
      <w:lvlText w:val="■"/>
      <w:lvlJc w:val="left"/>
      <w:pPr>
        <w:ind w:left="5760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</w:rPr>
    </w:lvl>
    <w:lvl w:ilvl="8" w:tentative="0">
      <w:start w:val="1"/>
      <w:numFmt w:val="bullet"/>
      <w:lvlText w:val="■"/>
      <w:lvlJc w:val="left"/>
      <w:pPr>
        <w:ind w:left="6480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</w:rPr>
    </w:lvl>
  </w:abstractNum>
  <w:abstractNum w:abstractNumId="2">
    <w:nsid w:val="59ADCABA"/>
    <w:multiLevelType w:val="multilevel"/>
    <w:tmpl w:val="59ADCABA"/>
    <w:lvl w:ilvl="0" w:tentative="0">
      <w:start w:val="1"/>
      <w:numFmt w:val="bullet"/>
      <w:lvlText w:val="●"/>
      <w:lvlJc w:val="left"/>
      <w:pPr>
        <w:ind w:left="590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</w:rPr>
    </w:lvl>
    <w:lvl w:ilvl="1" w:tentative="0">
      <w:start w:val="1"/>
      <w:numFmt w:val="bullet"/>
      <w:lvlText w:val="○"/>
      <w:lvlJc w:val="left"/>
      <w:pPr>
        <w:ind w:left="1440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</w:rPr>
    </w:lvl>
    <w:lvl w:ilvl="2" w:tentative="0">
      <w:start w:val="1"/>
      <w:numFmt w:val="bullet"/>
      <w:lvlText w:val="■"/>
      <w:lvlJc w:val="left"/>
      <w:pPr>
        <w:ind w:left="2160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</w:rPr>
    </w:lvl>
    <w:lvl w:ilvl="3" w:tentative="0">
      <w:start w:val="1"/>
      <w:numFmt w:val="bullet"/>
      <w:lvlText w:val="■"/>
      <w:lvlJc w:val="left"/>
      <w:pPr>
        <w:ind w:left="2880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</w:rPr>
    </w:lvl>
    <w:lvl w:ilvl="4" w:tentative="0">
      <w:start w:val="1"/>
      <w:numFmt w:val="bullet"/>
      <w:lvlText w:val="■"/>
      <w:lvlJc w:val="left"/>
      <w:pPr>
        <w:ind w:left="3600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</w:rPr>
    </w:lvl>
    <w:lvl w:ilvl="5" w:tentative="0">
      <w:start w:val="1"/>
      <w:numFmt w:val="bullet"/>
      <w:lvlText w:val="■"/>
      <w:lvlJc w:val="left"/>
      <w:pPr>
        <w:ind w:left="4320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</w:rPr>
    </w:lvl>
    <w:lvl w:ilvl="6" w:tentative="0">
      <w:start w:val="1"/>
      <w:numFmt w:val="bullet"/>
      <w:lvlText w:val="■"/>
      <w:lvlJc w:val="left"/>
      <w:pPr>
        <w:ind w:left="5040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</w:rPr>
    </w:lvl>
    <w:lvl w:ilvl="7" w:tentative="0">
      <w:start w:val="1"/>
      <w:numFmt w:val="bullet"/>
      <w:lvlText w:val="■"/>
      <w:lvlJc w:val="left"/>
      <w:pPr>
        <w:ind w:left="5760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</w:rPr>
    </w:lvl>
    <w:lvl w:ilvl="8" w:tentative="0">
      <w:start w:val="1"/>
      <w:numFmt w:val="bullet"/>
      <w:lvlText w:val="■"/>
      <w:lvlJc w:val="left"/>
      <w:pPr>
        <w:ind w:left="6480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</w:rPr>
    </w:lvl>
  </w:abstractNum>
  <w:num w:numId="1">
    <w:abstractNumId w:val="1"/>
  </w:num>
  <w:num w:numId="2">
    <w:abstractNumId w:val="0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doNotDisplayPageBoundaries w:val="1"/>
  <w:embedTrueTypeFonts/>
  <w:documentProtection w:enforcement="0"/>
  <w:defaultTabStop w:val="720"/>
  <w:compat>
    <w:useFELayout/>
    <w:compatSetting w:name="compatibilityMode" w:uri="http://schemas.microsoft.com/office/word" w:val="15"/>
  </w:compat>
  <w:rsids>
    <w:rsidRoot w:val="00000000"/>
    <w:rsid w:val="57813099"/>
    <w:rsid w:val="7CFC50FE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mc:AlternateContent>
    <mc:Choice Requires="wpsCustomData">
      <wpsCustomData:typoFeatureVersion val="1"/>
    </mc:Choice>
  </mc:AlternateContent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Arial" w:hAnsi="Arial" w:eastAsia="Arial" w:cs="Arial"/>
      </w:rPr>
    </w:rPrDefault>
    <w:pPrDefault/>
  </w:docDefaults>
  <w:latentStyles w:count="260" w:defQFormat="0" w:defUnhideWhenUsed="1" w:defSemiHidden="1" w:defUIPriority="99" w:defLockedState="0">
    <w:lsdException w:unhideWhenUsed="0" w:uiPriority="0" w:semiHidden="0" w:name="Normal"/>
    <w:lsdException w:qFormat="1" w:unhideWhenUsed="0" w:uiPriority="0" w:semiHidden="0" w:name="heading 1"/>
    <w:lsdException w:qFormat="1" w:unhideWhenUsed="0" w:uiPriority="0" w:semiHidden="0" w:name="heading 2"/>
    <w:lsdException w:qFormat="1" w:unhideWhenUsed="0" w:uiPriority="0" w:semiHidden="0" w:name="heading 3"/>
    <w:lsdException w:qFormat="1" w:unhideWhenUsed="0" w:uiPriority="0" w:semiHidden="0" w:name="heading 4"/>
    <w:lsdException w:qFormat="1" w:unhideWhenUsed="0" w:uiPriority="0" w:semiHidden="0" w:name="heading 5"/>
    <w:lsdException w:qFormat="1" w:unhideWhenUsed="0" w:uiPriority="0" w:semiHidden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uiPriority w:val="0"/>
    <w:pPr>
      <w:widowControl w:val="0"/>
    </w:pPr>
    <w:rPr>
      <w:rFonts w:ascii="Arial" w:hAnsi="Arial" w:eastAsia="Arial" w:cs="Arial"/>
      <w:sz w:val="22"/>
      <w:szCs w:val="22"/>
    </w:rPr>
  </w:style>
  <w:style w:type="paragraph" w:styleId="2">
    <w:name w:val="heading 1"/>
    <w:basedOn w:val="1"/>
    <w:next w:val="1"/>
    <w:qFormat/>
    <w:uiPriority w:val="0"/>
    <w:pPr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hd w:val="clear" w:fill="auto"/>
      <w:spacing w:before="240" w:after="240"/>
    </w:pPr>
    <w:rPr>
      <w:b/>
      <w:bCs/>
      <w:sz w:val="48"/>
      <w:szCs w:val="48"/>
    </w:rPr>
  </w:style>
  <w:style w:type="paragraph" w:styleId="3">
    <w:name w:val="heading 2"/>
    <w:basedOn w:val="1"/>
    <w:next w:val="1"/>
    <w:qFormat/>
    <w:uiPriority w:val="0"/>
    <w:pPr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hd w:val="clear" w:fill="auto"/>
      <w:spacing w:before="225" w:after="225"/>
    </w:pPr>
    <w:rPr>
      <w:b/>
      <w:bCs/>
      <w:sz w:val="36"/>
      <w:szCs w:val="36"/>
    </w:rPr>
  </w:style>
  <w:style w:type="paragraph" w:styleId="4">
    <w:name w:val="heading 3"/>
    <w:basedOn w:val="1"/>
    <w:next w:val="1"/>
    <w:qFormat/>
    <w:uiPriority w:val="0"/>
    <w:pPr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hd w:val="clear" w:fill="auto"/>
      <w:spacing w:before="240" w:after="240"/>
    </w:pPr>
    <w:rPr>
      <w:b/>
      <w:bCs/>
      <w:sz w:val="28"/>
      <w:szCs w:val="28"/>
    </w:rPr>
  </w:style>
  <w:style w:type="paragraph" w:styleId="5">
    <w:name w:val="heading 4"/>
    <w:basedOn w:val="1"/>
    <w:next w:val="1"/>
    <w:qFormat/>
    <w:uiPriority w:val="0"/>
    <w:pPr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hd w:val="clear" w:fill="auto"/>
      <w:spacing w:before="255" w:after="255"/>
    </w:pPr>
    <w:rPr>
      <w:b/>
      <w:bCs/>
      <w:sz w:val="24"/>
      <w:szCs w:val="24"/>
    </w:rPr>
  </w:style>
  <w:style w:type="paragraph" w:styleId="6">
    <w:name w:val="heading 5"/>
    <w:basedOn w:val="1"/>
    <w:next w:val="1"/>
    <w:qFormat/>
    <w:uiPriority w:val="0"/>
    <w:pPr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hd w:val="clear" w:fill="auto"/>
      <w:spacing w:before="255" w:after="255"/>
    </w:pPr>
    <w:rPr>
      <w:b/>
      <w:bCs/>
      <w:sz w:val="18"/>
      <w:szCs w:val="18"/>
    </w:rPr>
  </w:style>
  <w:style w:type="paragraph" w:styleId="7">
    <w:name w:val="heading 6"/>
    <w:basedOn w:val="1"/>
    <w:next w:val="1"/>
    <w:qFormat/>
    <w:uiPriority w:val="0"/>
    <w:pPr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hd w:val="clear" w:fill="auto"/>
      <w:spacing w:before="360" w:after="360"/>
    </w:pPr>
    <w:rPr>
      <w:b/>
      <w:bCs/>
      <w:sz w:val="16"/>
      <w:szCs w:val="16"/>
    </w:rPr>
  </w:style>
  <w:style w:type="character" w:default="1" w:styleId="11">
    <w:name w:val="Default Paragraph Font"/>
    <w:semiHidden/>
    <w:uiPriority w:val="0"/>
  </w:style>
  <w:style w:type="table" w:default="1" w:styleId="10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8">
    <w:name w:val="Subtitle"/>
    <w:basedOn w:val="1"/>
    <w:next w:val="1"/>
    <w:qFormat/>
    <w:uiPriority w:val="0"/>
    <w:pPr>
      <w:keepNext/>
      <w:keepLines/>
      <w:pageBreakBefore w:val="0"/>
      <w:spacing w:before="360" w:after="80"/>
    </w:pPr>
    <w:rPr>
      <w:rFonts w:ascii="Georgia" w:hAnsi="Georgia" w:eastAsia="Georgia" w:cs="Georgia"/>
      <w:i/>
      <w:iCs/>
      <w:color w:val="666666"/>
      <w:sz w:val="48"/>
      <w:szCs w:val="48"/>
    </w:rPr>
  </w:style>
  <w:style w:type="paragraph" w:styleId="9">
    <w:name w:val="Title"/>
    <w:basedOn w:val="1"/>
    <w:next w:val="1"/>
    <w:qFormat/>
    <w:uiPriority w:val="0"/>
    <w:pPr>
      <w:keepNext/>
      <w:keepLines/>
      <w:pageBreakBefore w:val="0"/>
      <w:spacing w:before="480" w:after="120"/>
    </w:pPr>
    <w:rPr>
      <w:b/>
      <w:bCs/>
      <w:sz w:val="72"/>
      <w:szCs w:val="72"/>
    </w:rPr>
  </w:style>
  <w:style w:type="table" w:customStyle="1" w:styleId="12">
    <w:name w:val="TableNormal"/>
    <w:qFormat/>
    <w:uiPriority w:val="0"/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13">
    <w:name w:val="_Style 10"/>
    <w:basedOn w:val="12"/>
    <w:qFormat/>
    <w:uiPriority w:val="0"/>
  </w:style>
</w:styles>
</file>

<file path=word/_rels/document.xml.rels><?xml version="1.0" encoding="UTF-8" standalone="yes"?>
<Relationships xmlns="http://schemas.openxmlformats.org/package/2006/relationships"><Relationship Id="rId5" Type="http://schemas.openxmlformats.org/officeDocument/2006/relationships/fontTable" Target="fontTable.xml"/><Relationship Id="rId4" Type="http://schemas.openxmlformats.org/officeDocument/2006/relationships/numbering" Target="numbering.xml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9" Type="http://schemas.openxmlformats.org/officeDocument/2006/relationships/font" Target="fonts/font9.odttf"/><Relationship Id="rId8" Type="http://schemas.openxmlformats.org/officeDocument/2006/relationships/font" Target="fonts/font8.odttf"/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0" Type="http://schemas.openxmlformats.org/officeDocument/2006/relationships/font" Target="fonts/font10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</a:theme>
</file>

<file path=docProps/app.xml><?xml version="1.0" encoding="utf-8"?>
<Properties xmlns="http://schemas.openxmlformats.org/officeDocument/2006/extended-properties" xmlns:vt="http://schemas.openxmlformats.org/officeDocument/2006/docPropsVTypes">
  <Pages>2</Pages>
  <Words>960</Words>
  <Characters>1127</Characters>
  <TotalTime>10</TotalTime>
  <ScaleCrop>false</ScaleCrop>
  <LinksUpToDate>false</LinksUpToDate>
  <CharactersWithSpaces>1147</CharactersWithSpaces>
  <Application>WPS Office_12.1.0.26895_F1E327BC-269C-435d-A152-05C5408002CA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2026-06-25T15:13:08Z</dcterms:created>
  <dc:creator>92386</dc:creator>
  <cp:lastModifiedBy>炸弹</cp:lastModifiedBy>
  <dcterms:modified xsi:type="dcterms:W3CDTF">2026-06-25T15:23:46Z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TemplateDocerSaveRecord">
    <vt:lpwstr>eyJoZGlkIjoiMTc5ODJhMGZkYjdiZWQwNmMwYWRkMDllMjczY2MxNTkiLCJ1c2VySWQiOiIyNTI2NDc1MzMifQ==</vt:lpwstr>
  </property>
  <property fmtid="{D5CDD505-2E9C-101B-9397-08002B2CF9AE}" pid="3" name="KSOProductBuildVer">
    <vt:lpwstr>2052-12.1.0.26895</vt:lpwstr>
  </property>
  <property fmtid="{D5CDD505-2E9C-101B-9397-08002B2CF9AE}" pid="4" name="ICV">
    <vt:lpwstr>59FF6D0AD1C0447894E83D51CF0F2BBB_12</vt:lpwstr>
  </property>
</Properties>
</file>