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436D6">
      <w:pPr>
        <w:pStyle w:val="3"/>
        <w:keepNext/>
      </w:pPr>
      <w:r>
        <w:rPr>
          <w:rFonts w:ascii="等线" w:hAnsi="等线" w:eastAsia="等线"/>
        </w:rPr>
        <w:t>专家介绍：GlassWorks 与 Glass Bridge</w:t>
      </w:r>
    </w:p>
    <w:p w14:paraId="2AAAAB99">
      <w:pPr>
        <w:widowControl/>
      </w:pPr>
      <w:r>
        <w:rPr>
          <w:rFonts w:ascii="等线" w:hAnsi="等线" w:eastAsia="等线"/>
        </w:rPr>
        <w:t>专家表示，需要先区分 GlassWorks 产品平台与其中的核心技术 Glass Bridge。</w:t>
      </w:r>
      <w:r>
        <w:rPr>
          <w:rFonts w:ascii="等线" w:hAnsi="等线" w:eastAsia="等线"/>
          <w:b/>
          <w:highlight w:val="yellow"/>
        </w:rPr>
        <w:t>GlassWorks 是更完整的晶圆级解决方案</w:t>
      </w:r>
      <w:r>
        <w:rPr>
          <w:rFonts w:ascii="等线" w:hAnsi="等线" w:eastAsia="等线"/>
        </w:rPr>
        <w:t>，目标是把芯片、PIC、光传输和光纤通路打通；</w:t>
      </w:r>
      <w:r>
        <w:rPr>
          <w:rFonts w:ascii="等线" w:hAnsi="等线" w:eastAsia="等线"/>
          <w:b/>
          <w:highlight w:val="yellow"/>
        </w:rPr>
        <w:t>Glass Bridge（玻璃桥）则主要解决光纤与 PIC（光引擎器件）之间的连接</w:t>
      </w:r>
      <w:r>
        <w:rPr>
          <w:rFonts w:ascii="等线" w:hAnsi="等线" w:eastAsia="等线"/>
        </w:rPr>
        <w:t>，使二者的连通更简单、更直接。</w:t>
      </w:r>
    </w:p>
    <w:p w14:paraId="712B734F">
      <w:pPr>
        <w:widowControl/>
      </w:pPr>
      <w:r>
        <w:rPr>
          <w:rFonts w:ascii="等线" w:hAnsi="等线" w:eastAsia="等线"/>
        </w:rPr>
        <w:t>Glass Bridge 的核心工艺是 IOX（离子交换），大致分为三步。第一步，将玻璃基材浸入含银离子的盐浴中，以银离子置换玻璃中的钠离子，形成高折射率波导。第二步，进行反向离子交换，把波导层沉入玻璃表面下方，一方面降低磨损和损坏风险，另一方面优化光纤匹配。第三步，通过直接成像等方式定义走线，使波导图案成形。</w:t>
      </w:r>
    </w:p>
    <w:p w14:paraId="6FF93498">
      <w:pPr>
        <w:widowControl/>
      </w:pPr>
      <w:r>
        <w:rPr>
          <w:rFonts w:ascii="等线" w:hAnsi="等线" w:eastAsia="等线"/>
        </w:rPr>
        <w:t>该波导用于把标准光纤约 250 微米的间距，收敛至 PIC 端约 30 微米的通道间距。示意结构中，连接光纤的一端更宽、间距更大，连接 PIC 的一端明显变窄；每一条通道就像一座“桥”，完成从较疏的光纤阵列到更密集光模块阵列的过渡。</w:t>
      </w:r>
    </w:p>
    <w:p w14:paraId="5521CEAD">
      <w:pPr>
        <w:widowControl/>
      </w:pPr>
      <w:r>
        <w:rPr>
          <w:rFonts w:ascii="等线" w:hAnsi="等线" w:eastAsia="等线"/>
        </w:rPr>
        <w:t>目前第一代技术可将 PIC 间距做到约 30 微米，采用超低 CTE 玻璃，其 CTE 与康宁纯玻璃基板的 CTE 值略有差异、稍高一些；单器件通道数可达 24 路以上，紧凑型器件尺寸约 6.4 毫米。其核心变化是由过去需要主动光源辅助的人工对准，</w:t>
      </w:r>
      <w:r>
        <w:rPr>
          <w:rFonts w:ascii="等线" w:hAnsi="等线" w:eastAsia="等线"/>
          <w:b/>
          <w:highlight w:val="yellow"/>
        </w:rPr>
        <w:t>转为 XYZ 三轴的无源自动对准</w:t>
      </w:r>
      <w:r>
        <w:rPr>
          <w:rFonts w:ascii="等线" w:hAnsi="等线" w:eastAsia="等线"/>
        </w:rPr>
        <w:t>：装配时按标准插入即可，不再需要提供主动光源。</w:t>
      </w:r>
      <w:r>
        <w:rPr>
          <w:rFonts w:ascii="等线" w:hAnsi="等线" w:eastAsia="等线"/>
          <w:b/>
          <w:highlight w:val="yellow"/>
        </w:rPr>
        <w:t>目标耦合损耗约为 1.4—1.5 dB</w:t>
      </w:r>
      <w:r>
        <w:rPr>
          <w:rFonts w:ascii="等线" w:hAnsi="等线" w:eastAsia="等线"/>
        </w:rPr>
        <w:t>。</w:t>
      </w:r>
    </w:p>
    <w:p w14:paraId="682AC75C">
      <w:pPr>
        <w:pStyle w:val="4"/>
        <w:keepNext/>
      </w:pPr>
      <w:bookmarkStart w:id="0" w:name="_GoBack"/>
      <w:bookmarkEnd w:id="0"/>
      <w:r>
        <w:rPr>
          <w:rFonts w:ascii="等线" w:hAnsi="等线" w:eastAsia="等线"/>
        </w:rPr>
        <w:t>一、对封装流程及 FAU 的影响</w:t>
      </w:r>
    </w:p>
    <w:p w14:paraId="58006629">
      <w:pPr>
        <w:widowControl/>
        <w:ind w:firstLine="0"/>
      </w:pPr>
      <w:r>
        <w:rPr>
          <w:rFonts w:ascii="等线" w:hAnsi="等线" w:eastAsia="等线"/>
          <w:b/>
          <w:color w:val="1F4E79"/>
        </w:rPr>
        <w:t>问：</w:t>
      </w:r>
      <w:r>
        <w:rPr>
          <w:rFonts w:ascii="等线" w:hAnsi="等线" w:eastAsia="等线"/>
        </w:rPr>
        <w:t>Glass Bridge 是否能够加快 CPO（共封装光学）的推进？它会替代哪些封装环节、增加哪些环节，对整个封测流程和产业链有何影响？</w:t>
      </w:r>
    </w:p>
    <w:p w14:paraId="2C5A6D37">
      <w:pPr>
        <w:widowControl/>
        <w:ind w:firstLine="0"/>
      </w:pPr>
      <w:r>
        <w:rPr>
          <w:rFonts w:ascii="等线" w:hAnsi="等线" w:eastAsia="等线"/>
          <w:b/>
          <w:color w:val="1F4E79"/>
        </w:rPr>
        <w:t>专家：</w:t>
      </w:r>
      <w:r>
        <w:rPr>
          <w:rFonts w:ascii="等线" w:hAnsi="等线" w:eastAsia="等线"/>
        </w:rPr>
        <w:t>Glass Bridge 的直接对标对象，是传统光纤与 PIC 的连接方案，即 FAU（光纤阵列单元）。从封装、封测流程看，它可以替代 FAU 的部分连接逻辑。传统 FAU 需要对接入的每根光纤进行逐根对准，即便是康宁也并非全自动，仍包含精密操作；部分国内 FAU 组装厂更多采用人工对准。对准精度要达到个位数微米级，需要有源光纤校正，耗时长、设备贵且包含人工流程。尤其在高芯数 FAU 中，良率通常难以做到特别高，达到 80%—90% 已属不错。</w:t>
      </w:r>
    </w:p>
    <w:p w14:paraId="650FADC5">
      <w:pPr>
        <w:widowControl/>
      </w:pPr>
      <w:r>
        <w:rPr>
          <w:rFonts w:ascii="等线" w:hAnsi="等线" w:eastAsia="等线"/>
        </w:rPr>
        <w:t>Glass Bridge 的光纤通道已经预先做好，组装时只需把光纤插入端口。因此，整个组装时间和效率可能获得数量级提升，</w:t>
      </w:r>
      <w:r>
        <w:rPr>
          <w:rFonts w:ascii="等线" w:hAnsi="等线" w:eastAsia="等线"/>
          <w:b/>
          <w:highlight w:val="yellow"/>
        </w:rPr>
        <w:t>由分钟级或十几分钟级降至秒级</w:t>
      </w:r>
      <w:r>
        <w:rPr>
          <w:rFonts w:ascii="等线" w:hAnsi="等线" w:eastAsia="等线"/>
        </w:rPr>
        <w:t>，同时减少人员和设备投入并提升良率。</w:t>
      </w:r>
    </w:p>
    <w:p w14:paraId="419F5621">
      <w:pPr>
        <w:widowControl/>
      </w:pPr>
      <w:r>
        <w:rPr>
          <w:rFonts w:ascii="等线" w:hAnsi="等线" w:eastAsia="等线"/>
        </w:rPr>
        <w:t>第二项差异是可维护性。传统 FAU 中，光纤定位后需要粘接固化，一旦发生问题，整条光路往往需要更换。Glass Bridge 采用可插拔结构，如果某一通道损坏，只需拆换相应插件，不必因 CPO 模组中的一条光路故障而更换整个模组，后期运维更方便。</w:t>
      </w:r>
    </w:p>
    <w:p w14:paraId="59B3D6CD">
      <w:pPr>
        <w:widowControl/>
      </w:pPr>
      <w:r>
        <w:rPr>
          <w:rFonts w:ascii="等线" w:hAnsi="等线" w:eastAsia="等线"/>
        </w:rPr>
        <w:t>第三项差异是性能。玻璃波导采用渐变折射率设计后，与硅光 PIC 对接时的损耗可下降，目标耦合损耗约为 1.4—1.5 dB。</w:t>
      </w:r>
    </w:p>
    <w:p w14:paraId="3D965E1F">
      <w:pPr>
        <w:widowControl/>
      </w:pPr>
      <w:r>
        <w:rPr>
          <w:rFonts w:ascii="等线" w:hAnsi="等线" w:eastAsia="等线"/>
        </w:rPr>
        <w:t>不过，这并不意味着 FAU 将失去价值。成熟客户选择技术时，核心并不是技术是否“更高级”，而是在达到相同目标的前提下比较经济成本与效率成本。FAU 与 Glass Bridge 谁替代谁、是否长期共存并划分市场份额，</w:t>
      </w:r>
      <w:r>
        <w:rPr>
          <w:rFonts w:ascii="等线" w:hAnsi="等线" w:eastAsia="等线"/>
          <w:b/>
          <w:highlight w:val="yellow"/>
        </w:rPr>
        <w:t>最终取决于综合成本和效率</w:t>
      </w:r>
      <w:r>
        <w:rPr>
          <w:rFonts w:ascii="等线" w:hAnsi="等线" w:eastAsia="等线"/>
        </w:rPr>
        <w:t>。</w:t>
      </w:r>
    </w:p>
    <w:p w14:paraId="2E3A1E10">
      <w:pPr>
        <w:widowControl/>
      </w:pPr>
      <w:r>
        <w:rPr>
          <w:rFonts w:ascii="等线" w:hAnsi="等线" w:eastAsia="等线"/>
        </w:rPr>
        <w:t>专家进一步强调，康宁的</w:t>
      </w:r>
      <w:r>
        <w:rPr>
          <w:rFonts w:ascii="等线" w:hAnsi="等线" w:eastAsia="等线"/>
          <w:b/>
          <w:highlight w:val="yellow"/>
        </w:rPr>
        <w:t>核心战略方向不是单独的 Glass Bridge，而是 GlassWorks 整体晶圆级 CPO 解决方案</w:t>
      </w:r>
      <w:r>
        <w:rPr>
          <w:rFonts w:ascii="等线" w:hAnsi="等线" w:eastAsia="等线"/>
        </w:rPr>
        <w:t>。该方案同时包含 Glass Bridge 的 IOX 技术，以及康宁 TGV 玻璃基板或玻璃中介层技术。关键之处在于，</w:t>
      </w:r>
      <w:r>
        <w:rPr>
          <w:rFonts w:ascii="等线" w:hAnsi="等线" w:eastAsia="等线"/>
          <w:b/>
          <w:highlight w:val="yellow"/>
        </w:rPr>
        <w:t>同一块晶圆级板需要同时支持 IOX 与 TGV 工艺</w:t>
      </w:r>
      <w:r>
        <w:rPr>
          <w:rFonts w:ascii="等线" w:hAnsi="等线" w:eastAsia="等线"/>
        </w:rPr>
        <w:t>，因此对玻璃基材的要求不再只是满足 TGV；康宁目前在这一材料门槛上具有较大优势。</w:t>
      </w:r>
    </w:p>
    <w:p w14:paraId="56FEBAE3">
      <w:pPr>
        <w:pStyle w:val="4"/>
        <w:keepNext/>
      </w:pPr>
      <w:r>
        <w:rPr>
          <w:rFonts w:ascii="等线" w:hAnsi="等线" w:eastAsia="等线"/>
        </w:rPr>
        <w:t>二、竞争路线、材料壁垒与产业化</w:t>
      </w:r>
    </w:p>
    <w:p w14:paraId="13FA9006">
      <w:pPr>
        <w:widowControl/>
        <w:ind w:firstLine="0"/>
      </w:pPr>
      <w:r>
        <w:rPr>
          <w:rFonts w:ascii="等线" w:hAnsi="等线" w:eastAsia="等线"/>
          <w:b/>
          <w:color w:val="1F4E79"/>
        </w:rPr>
        <w:t>问：</w:t>
      </w:r>
      <w:r>
        <w:rPr>
          <w:rFonts w:ascii="等线" w:hAnsi="等线" w:eastAsia="等线"/>
        </w:rPr>
        <w:t>肖特、AGC，以及英特尔、三星等玻璃基板参与者能否快速跟进？康宁 Glass Bridge、GlassWorks 当前的良率、量产成本预计处于什么水平？</w:t>
      </w:r>
    </w:p>
    <w:p w14:paraId="274A64F4">
      <w:pPr>
        <w:widowControl/>
      </w:pPr>
      <w:r>
        <w:rPr>
          <w:rFonts w:ascii="等线" w:hAnsi="等线" w:eastAsia="等线"/>
        </w:rPr>
        <w:t>需要把竞争拆成两个层面。第一层是玻璃光波导、无源连接和可拆卸结构。该层面的主要玩家包括康宁、以色列企业 Teramount、日本企业的微透镜方案，以及采用 TSV 垂直耦合路线的 Lightmatter 等。康宁采取边缘耦合，即光纤从与芯片平行的一侧接入；Teramount 采取表面耦合，光纤与芯片垂直，因此需要增加偏转结构；另有微透镜和 TSV 垂直耦合等路线。</w:t>
      </w:r>
    </w:p>
    <w:p w14:paraId="7F217E39">
      <w:pPr>
        <w:widowControl/>
      </w:pPr>
      <w:r>
        <w:rPr>
          <w:rFonts w:ascii="等线" w:hAnsi="等线" w:eastAsia="等线"/>
        </w:rPr>
        <w:t>康宁在该层面的优势，是同时拥有 IOX 波导专利和玻璃原片能力：既供应原片，又在原片上实现自有光波导技术。其他光波导方案参与者通常不具备玻璃原片供应能力，因此康宁在这一组合上具有明显优势。</w:t>
      </w:r>
    </w:p>
    <w:p w14:paraId="6E4B3AA1">
      <w:pPr>
        <w:widowControl/>
      </w:pPr>
      <w:r>
        <w:rPr>
          <w:rFonts w:ascii="等线" w:hAnsi="等线" w:eastAsia="等线"/>
        </w:rPr>
        <w:t>第二层是玻璃基材，参与者包括德国肖特、日本 AGC、日本电气硝子，以及韩国三星电机等。康宁的优势包括溢流下拉法形成的原生超平玻璃，以及相关先进封装盖板工艺经验。材料配方大致可分为硼硅玻璃和低碱铝硼硅玻璃等路线。康宁代表产品包括 EAGLE XG、7059；肖特的对标产品包括 AF 32、BOROFLOAT 33 等。不同配方会造成原片成本、加工效率、激光打孔、填铜附着力、RDL 光刻效果及可实现线宽/线距上下限等差异。</w:t>
      </w:r>
    </w:p>
    <w:p w14:paraId="222A4519">
      <w:pPr>
        <w:widowControl/>
      </w:pPr>
      <w:r>
        <w:rPr>
          <w:rFonts w:ascii="等线" w:hAnsi="等线" w:eastAsia="等线"/>
        </w:rPr>
        <w:t>GlassWorks 的产品定义，是把 TGV 与 Glass Bridge 合并在同一块板上，这意味着同一种玻璃原片配方必须同时支持 IOX 光波导与 TGV 打孔等工艺。康宁的特殊配方优势因此更明显，可能体现在成本和加工良率等方面。专家的结论是：</w:t>
      </w:r>
      <w:r>
        <w:rPr>
          <w:rFonts w:ascii="等线" w:hAnsi="等线" w:eastAsia="等线"/>
          <w:b/>
          <w:highlight w:val="yellow"/>
        </w:rPr>
        <w:t>如果只做 TGV，康宁未必是最佳选择</w:t>
      </w:r>
      <w:r>
        <w:rPr>
          <w:rFonts w:ascii="等线" w:hAnsi="等线" w:eastAsia="等线"/>
        </w:rPr>
        <w:t>，肖特等公司的产品也可能更合适；但</w:t>
      </w:r>
      <w:r>
        <w:rPr>
          <w:rFonts w:ascii="等线" w:hAnsi="等线" w:eastAsia="等线"/>
          <w:b/>
          <w:highlight w:val="yellow"/>
        </w:rPr>
        <w:t>一旦产品同时包含 Glass Bridge 与 TGV，康宁的组合优势就会体现出来</w:t>
      </w:r>
      <w:r>
        <w:rPr>
          <w:rFonts w:ascii="等线" w:hAnsi="等线" w:eastAsia="等线"/>
        </w:rPr>
        <w:t>，因为肖特现有产品线在 IOX 方面不具备同等优势。</w:t>
      </w:r>
    </w:p>
    <w:p w14:paraId="633C7D93">
      <w:pPr>
        <w:pStyle w:val="4"/>
        <w:keepNext/>
      </w:pPr>
      <w:r>
        <w:rPr>
          <w:rFonts w:ascii="等线" w:hAnsi="等线" w:eastAsia="等线"/>
        </w:rPr>
        <w:t>三、客户验证进度</w:t>
      </w:r>
    </w:p>
    <w:p w14:paraId="2DEF47AF">
      <w:pPr>
        <w:widowControl/>
        <w:ind w:firstLine="0"/>
      </w:pPr>
      <w:r>
        <w:rPr>
          <w:rFonts w:ascii="等线" w:hAnsi="等线" w:eastAsia="等线"/>
          <w:b/>
          <w:color w:val="1F4E79"/>
        </w:rPr>
        <w:t>问：</w:t>
      </w:r>
      <w:r>
        <w:rPr>
          <w:rFonts w:ascii="等线" w:hAnsi="等线" w:eastAsia="等线"/>
        </w:rPr>
        <w:t>英伟达、谷歌、微软等下游客户对 Glass Bridge、GlassWorks 方案的验证或认可情况如何？</w:t>
      </w:r>
    </w:p>
    <w:p w14:paraId="5BC3C720">
      <w:pPr>
        <w:widowControl/>
        <w:ind w:firstLine="0"/>
      </w:pPr>
      <w:r>
        <w:rPr>
          <w:rFonts w:ascii="等线" w:hAnsi="等线" w:eastAsia="等线"/>
          <w:b/>
          <w:color w:val="1F4E79"/>
        </w:rPr>
        <w:t>专家：</w:t>
      </w:r>
      <w:r>
        <w:rPr>
          <w:rFonts w:ascii="等线" w:hAnsi="等线" w:eastAsia="等线"/>
        </w:rPr>
        <w:t>Glass Bridge 以及包含该技术的 GlassWorks 整体方案都属于新发布。GlassWorks 品牌和平台在 2022—2023 年左右已经发布，当时也在讨论如何在一块大板上完成整个工艺流程，但其中采用的连接工艺尚不是 Glass Bridge。</w:t>
      </w:r>
    </w:p>
    <w:p w14:paraId="7EF93E4F">
      <w:pPr>
        <w:widowControl/>
      </w:pPr>
      <w:r>
        <w:rPr>
          <w:rFonts w:ascii="等线" w:hAnsi="等线" w:eastAsia="等线"/>
          <w:b/>
          <w:highlight w:val="yellow"/>
        </w:rPr>
        <w:t>目前客户认证仍处于起步阶段</w:t>
      </w:r>
      <w:r>
        <w:rPr>
          <w:rFonts w:ascii="等线" w:hAnsi="等线" w:eastAsia="等线"/>
        </w:rPr>
        <w:t>，尚未完成针对各大品牌及其具体应用的全部技术认证和测试，推进速度不会像此前 TGV 那样快、那样早或那样顺利。玻璃光波导本身已有十年以上应用历史，在 AR 眼镜等场景的相关认证已经完成；但把光波导应用到 CPO，并与 TGV 共同构成板载整体方案，距离行业期待的“认证完成、即将商用”仍然很远，</w:t>
      </w:r>
      <w:r>
        <w:rPr>
          <w:rFonts w:ascii="等线" w:hAnsi="等线" w:eastAsia="等线"/>
          <w:b/>
          <w:highlight w:val="yellow"/>
        </w:rPr>
        <w:t>还需要时间</w:t>
      </w:r>
      <w:r>
        <w:rPr>
          <w:rFonts w:ascii="等线" w:hAnsi="等线" w:eastAsia="等线"/>
        </w:rPr>
        <w:t>。</w:t>
      </w:r>
    </w:p>
    <w:p w14:paraId="4B8E2CFB">
      <w:pPr>
        <w:pStyle w:val="4"/>
        <w:keepNext/>
      </w:pPr>
      <w:r>
        <w:rPr>
          <w:rFonts w:ascii="等线" w:hAnsi="等线" w:eastAsia="等线"/>
        </w:rPr>
        <w:t>四、国内光模块企业的导入及影响</w:t>
      </w:r>
    </w:p>
    <w:p w14:paraId="317D5438">
      <w:pPr>
        <w:widowControl/>
        <w:ind w:firstLine="0"/>
      </w:pPr>
      <w:r>
        <w:rPr>
          <w:rFonts w:ascii="等线" w:hAnsi="等线" w:eastAsia="等线"/>
          <w:b/>
          <w:color w:val="1F4E79"/>
        </w:rPr>
        <w:t>问：</w:t>
      </w:r>
      <w:r>
        <w:rPr>
          <w:rFonts w:ascii="等线" w:hAnsi="等线" w:eastAsia="等线"/>
        </w:rPr>
        <w:t>国内头部光模块及光器件企业是否已经导入该方案？</w:t>
      </w:r>
    </w:p>
    <w:p w14:paraId="443FC591">
      <w:pPr>
        <w:widowControl/>
        <w:ind w:firstLine="0"/>
      </w:pPr>
      <w:r>
        <w:rPr>
          <w:rFonts w:ascii="等线" w:hAnsi="等线" w:eastAsia="等线"/>
          <w:b/>
          <w:color w:val="1F4E79"/>
        </w:rPr>
        <w:t>专家：</w:t>
      </w:r>
      <w:r>
        <w:rPr>
          <w:rFonts w:ascii="等线" w:hAnsi="等线" w:eastAsia="等线"/>
        </w:rPr>
        <w:t>既然行业认证和接受度尚未完成，就不能期待主要参与者已经全面转向该技术。对天孚通信、太辰光、光库科技、世嘉科技等既可能合作、也存在竞争关系的厂商而言，更现实的问题是其核心 FAU 产品会不会被新技术替代。专家再次强调，FAU 并非一定会被完全替代，当前只是多了一条具有独特优势和劣势的技术路线。</w:t>
      </w:r>
    </w:p>
    <w:p w14:paraId="48903769">
      <w:pPr>
        <w:widowControl/>
      </w:pPr>
      <w:r>
        <w:rPr>
          <w:rFonts w:ascii="等线" w:hAnsi="等线" w:eastAsia="等线"/>
        </w:rPr>
        <w:t>现有企业也在继续优化 FAU。比如天孚通信把工艺向上游延伸，覆盖光引擎、玻璃基板、波导耦合到基板边缘光纤接口；光库科技则与博通等合作提升保偏 FAU 等产品能力。Glass Bridge 提供的是新增的可选路线。未来何时形成替代率、渗透率，不由康宁单方面决定，而由使用者在完成技术认证和验证后，根据 cost efficiency（综合成本与效率）作出选择；这一流程通常以年为单位。</w:t>
      </w:r>
    </w:p>
    <w:p w14:paraId="149590A2">
      <w:pPr>
        <w:widowControl/>
      </w:pPr>
      <w:r>
        <w:rPr>
          <w:rFonts w:ascii="等线" w:hAnsi="等线" w:eastAsia="等线"/>
        </w:rPr>
        <w:t>沃格光电、莱宝高科，以及玻璃原片企业戈碧迦、力诺特玻等国内厂商，也可能受到该技术路线的影响。如果 Glass Bridge 最终完成验证，且性能与综合成本足以覆盖换型、换线成本，随着渗透率提升，玻璃原片和 TGV 加工等环节的不同层级参与者都会受到影响。</w:t>
      </w:r>
    </w:p>
    <w:p w14:paraId="0FC0CD1B">
      <w:pPr>
        <w:pStyle w:val="4"/>
        <w:keepNext/>
      </w:pPr>
      <w:r>
        <w:rPr>
          <w:rFonts w:ascii="等线" w:hAnsi="等线" w:eastAsia="等线"/>
        </w:rPr>
        <w:t>五、IOX 是否构成排他性壁垒</w:t>
      </w:r>
    </w:p>
    <w:p w14:paraId="1D00B518">
      <w:pPr>
        <w:widowControl/>
        <w:ind w:firstLine="0"/>
      </w:pPr>
      <w:r>
        <w:rPr>
          <w:rFonts w:ascii="等线" w:hAnsi="等线" w:eastAsia="等线"/>
          <w:b/>
          <w:color w:val="1F4E79"/>
        </w:rPr>
        <w:t>问：</w:t>
      </w:r>
      <w:r>
        <w:rPr>
          <w:rFonts w:ascii="等线" w:hAnsi="等线" w:eastAsia="等线"/>
        </w:rPr>
        <w:t>康宁在光纤、IOX 离子交换光波导等方面的能力，是否构成 Glass Bridge 的核心壁垒，并有助于提升其产业链主导地位或市场份额？</w:t>
      </w:r>
    </w:p>
    <w:p w14:paraId="16EE23AE">
      <w:pPr>
        <w:widowControl/>
        <w:ind w:firstLine="0"/>
      </w:pPr>
      <w:r>
        <w:rPr>
          <w:rFonts w:ascii="等线" w:hAnsi="等线" w:eastAsia="等线"/>
          <w:b/>
          <w:color w:val="1F4E79"/>
        </w:rPr>
        <w:t>专家：</w:t>
      </w:r>
      <w:r>
        <w:rPr>
          <w:rFonts w:ascii="等线" w:hAnsi="等线" w:eastAsia="等线"/>
          <w:b/>
          <w:highlight w:val="yellow"/>
        </w:rPr>
        <w:t>IOX 是该方案中重要且有特点的技术，但并不排他</w:t>
      </w:r>
      <w:r>
        <w:rPr>
          <w:rFonts w:ascii="等线" w:hAnsi="等线" w:eastAsia="等线"/>
        </w:rPr>
        <w:t>。以色列、日本等参与者也在尝试光波导路线，因此不能理解为只有康宁能够做光波导。康宁真正独特的优势，是</w:t>
      </w:r>
      <w:r>
        <w:rPr>
          <w:rFonts w:ascii="等线" w:hAnsi="等线" w:eastAsia="等线"/>
          <w:b/>
          <w:highlight w:val="yellow"/>
        </w:rPr>
        <w:t>把光波导与 TGV 合在一起</w:t>
      </w:r>
      <w:r>
        <w:rPr>
          <w:rFonts w:ascii="等线" w:hAnsi="等线" w:eastAsia="等线"/>
        </w:rPr>
        <w:t>，并以一种适配两类不同工艺要求的玻璃基材同时支持二者。</w:t>
      </w:r>
    </w:p>
    <w:p w14:paraId="1E20B0E7">
      <w:pPr>
        <w:pStyle w:val="4"/>
        <w:keepNext/>
      </w:pPr>
      <w:r>
        <w:rPr>
          <w:rFonts w:ascii="等线" w:hAnsi="等线" w:eastAsia="等线"/>
        </w:rPr>
        <w:t>六、Glass Bridge 的应用边界</w:t>
      </w:r>
    </w:p>
    <w:p w14:paraId="227F7972">
      <w:pPr>
        <w:widowControl/>
        <w:ind w:firstLine="0"/>
      </w:pPr>
      <w:r>
        <w:rPr>
          <w:rFonts w:ascii="等线" w:hAnsi="等线" w:eastAsia="等线"/>
          <w:b/>
          <w:color w:val="1F4E79"/>
        </w:rPr>
        <w:t>问：</w:t>
      </w:r>
      <w:r>
        <w:rPr>
          <w:rFonts w:ascii="等线" w:hAnsi="等线" w:eastAsia="等线"/>
        </w:rPr>
        <w:t>该方案在光模块领域有利于康宁建立主导地位；那么对纯电封装、玻璃中介层和玻璃芯基板等领域的影响是否较小？</w:t>
      </w:r>
    </w:p>
    <w:p w14:paraId="267FC270">
      <w:pPr>
        <w:widowControl/>
        <w:ind w:firstLine="0"/>
      </w:pPr>
      <w:r>
        <w:rPr>
          <w:rFonts w:ascii="等线" w:hAnsi="等线" w:eastAsia="等线"/>
          <w:b/>
          <w:color w:val="1F4E79"/>
        </w:rPr>
        <w:t>专家：</w:t>
      </w:r>
      <w:r>
        <w:rPr>
          <w:rFonts w:ascii="等线" w:hAnsi="等线" w:eastAsia="等线"/>
        </w:rPr>
        <w:t>该技术有明确的应用场景。如果 CPO 产品选择 Glass Bridge 光波导集成路线，康宁的 TGV 玻璃基板与 Glass Bridge 可实现同源、同片，因此在 CPO 模块上具有独特优势。</w:t>
      </w:r>
    </w:p>
    <w:p w14:paraId="588F87DE">
      <w:pPr>
        <w:widowControl/>
      </w:pPr>
      <w:r>
        <w:rPr>
          <w:rFonts w:ascii="等线" w:hAnsi="等线" w:eastAsia="等线"/>
        </w:rPr>
        <w:t>但在纯玻璃中介层（glass interposer）或玻璃芯基板（glass core substrate）领域，产品只涉及玻璃基材与 TGV 技术，不需要光波导，GlassWorks 与 Glass Bridge 因而没有应用，也谈不上独占优势。该方案的</w:t>
      </w:r>
      <w:r>
        <w:rPr>
          <w:rFonts w:ascii="等线" w:hAnsi="等线" w:eastAsia="等线"/>
          <w:b/>
          <w:highlight w:val="yellow"/>
        </w:rPr>
        <w:t>核心应用场景，应限定在 CPO 光模块和硅光平台</w:t>
      </w:r>
      <w:r>
        <w:rPr>
          <w:rFonts w:ascii="等线" w:hAnsi="等线" w:eastAsia="等线"/>
        </w:rPr>
        <w:t>。</w:t>
      </w:r>
    </w:p>
    <w:p w14:paraId="04D7C421">
      <w:pPr>
        <w:pStyle w:val="4"/>
        <w:keepNext/>
      </w:pPr>
      <w:r>
        <w:rPr>
          <w:rFonts w:ascii="等线" w:hAnsi="等线" w:eastAsia="等线"/>
        </w:rPr>
        <w:t>七、产业链合作方式与“朋友圈”</w:t>
      </w:r>
    </w:p>
    <w:p w14:paraId="3482C138">
      <w:pPr>
        <w:widowControl/>
        <w:ind w:firstLine="0"/>
      </w:pPr>
      <w:r>
        <w:rPr>
          <w:rFonts w:ascii="等线" w:hAnsi="等线" w:eastAsia="等线"/>
          <w:b/>
          <w:color w:val="1F4E79"/>
        </w:rPr>
        <w:t>问：</w:t>
      </w:r>
      <w:r>
        <w:rPr>
          <w:rFonts w:ascii="等线" w:hAnsi="等线" w:eastAsia="等线"/>
        </w:rPr>
        <w:t>Glass Bridge、GlassWorks 的上游材料和设备由谁提供？康宁目前有哪些合作方？</w:t>
      </w:r>
    </w:p>
    <w:p w14:paraId="49C1D583">
      <w:pPr>
        <w:widowControl/>
        <w:ind w:firstLine="0"/>
      </w:pPr>
      <w:r>
        <w:rPr>
          <w:rFonts w:ascii="等线" w:hAnsi="等线" w:eastAsia="等线"/>
          <w:b/>
          <w:color w:val="1F4E79"/>
        </w:rPr>
        <w:t>专家：</w:t>
      </w:r>
      <w:r>
        <w:rPr>
          <w:rFonts w:ascii="等线" w:hAnsi="等线" w:eastAsia="等线"/>
        </w:rPr>
        <w:t>康宁在新技术上通常会掌握核心技术，甚至自行设计支持核心工艺的设备。康宁不一定具备设备制造能力，因此会由合作伙伴按照其设计标准制造；设备完成后成为康宁的独有设备，在自有产线上跑通产品和工艺。</w:t>
      </w:r>
    </w:p>
    <w:p w14:paraId="43D142E0">
      <w:pPr>
        <w:widowControl/>
      </w:pPr>
      <w:r>
        <w:rPr>
          <w:rFonts w:ascii="等线" w:hAnsi="等线" w:eastAsia="等线"/>
        </w:rPr>
        <w:t>目前 Glass Bridge、GlassWorks 路线以自有技术、自持自制为主。新技术处于从 0 到 1，甚至从 1 到 3、1 到 5 的早期阶段时，其他玩家通常尚不具备代工能力，因此大概率仍是独占逻辑。待技术完成验证、获得产业认可并进入规模化阶段，更多玩家加入后，才可能形成设备、代工及共同分享市场空间的合作伙伴网络；现在讨论这一问题仍偏早。</w:t>
      </w:r>
    </w:p>
    <w:p w14:paraId="409972A2">
      <w:pPr>
        <w:pStyle w:val="4"/>
        <w:keepNext/>
      </w:pPr>
      <w:r>
        <w:rPr>
          <w:rFonts w:ascii="等线" w:hAnsi="等线" w:eastAsia="等线"/>
        </w:rPr>
        <w:t>八、市场空间及玻璃基板商业化节奏</w:t>
      </w:r>
    </w:p>
    <w:p w14:paraId="5D1A696A">
      <w:pPr>
        <w:widowControl/>
        <w:ind w:firstLine="0"/>
      </w:pPr>
      <w:r>
        <w:rPr>
          <w:rFonts w:ascii="等线" w:hAnsi="等线" w:eastAsia="等线"/>
          <w:b/>
          <w:color w:val="1F4E79"/>
        </w:rPr>
        <w:t>问：</w:t>
      </w:r>
      <w:r>
        <w:rPr>
          <w:rFonts w:ascii="等线" w:hAnsi="等线" w:eastAsia="等线"/>
        </w:rPr>
        <w:t>该技术的市场空间有多大？下游多大比例可能采用？此前对玻璃中介层、玻璃芯基板等商业化节奏和市场规模的判断是否有更新？</w:t>
      </w:r>
    </w:p>
    <w:p w14:paraId="45623555">
      <w:pPr>
        <w:widowControl/>
      </w:pPr>
      <w:r>
        <w:rPr>
          <w:rFonts w:ascii="等线" w:hAnsi="等线" w:eastAsia="等线"/>
        </w:rPr>
        <w:t>Glass Bridge 的核心应用锚定 CPO，当前又主要锚定英伟达及其 Rubin、Rubin Ultra 等 AIDC 产品路线。因此，判断市场空间只能跟随英伟达产品的放量节奏，以及 2027、2028 年 CPO 光模块在相关产品中的替代率变化。专家无法给出可靠数字，只能定性判断：如果北美 AIDC 需求按非线性递增逻辑发展，CPO 也可能同步出现很大的增长；如果底层 AIDC 需求不及预期，配套环节的需求也会相应下降。</w:t>
      </w:r>
    </w:p>
    <w:p w14:paraId="0A3ACE39">
      <w:pPr>
        <w:widowControl/>
      </w:pPr>
      <w:r>
        <w:rPr>
          <w:rFonts w:ascii="等线" w:hAnsi="等线" w:eastAsia="等线"/>
        </w:rPr>
        <w:t>对于玻璃基板整体商业化节奏，专家的基本判断没有变化，因为英伟达、台积电、英特尔、三星等核心参与者并未对未来应用场景作出根本性调整。供应商属于乙方甚至第三方角色，预期需要跟随终端需求方。</w:t>
      </w:r>
    </w:p>
    <w:p w14:paraId="72E48ED6">
      <w:pPr>
        <w:widowControl/>
      </w:pPr>
      <w:r>
        <w:rPr>
          <w:rFonts w:ascii="等线" w:hAnsi="等线" w:eastAsia="等线"/>
        </w:rPr>
        <w:t>时间节点可能略有变化。此前对玻璃中介层及玻璃芯基板的较早预期是 2026 年第四季度开始应用，这一判断或仍维持；英特尔曾公开给出更早的 2026 年第二季度预期，但目前尚未看到特别清晰的大规模放量信号，其路线也可能放慢或调整。三星仍维持 HBM 或其他基板应用场景，未见明显变化；台积电的表态似乎更积极，但台积电本身也是供应方，不能替代终端客户的需求定义。</w:t>
      </w:r>
    </w:p>
    <w:p w14:paraId="5C23D1BE">
      <w:pPr>
        <w:widowControl/>
      </w:pPr>
      <w:r>
        <w:rPr>
          <w:rFonts w:ascii="等线" w:hAnsi="等线" w:eastAsia="等线"/>
        </w:rPr>
        <w:t>专家相对理想的判断是：</w:t>
      </w:r>
      <w:r>
        <w:rPr>
          <w:rFonts w:ascii="等线" w:hAnsi="等线" w:eastAsia="等线"/>
          <w:b/>
          <w:highlight w:val="yellow"/>
        </w:rPr>
        <w:t>2026 年第四季度可见小量应用，也可能延后至 2027 年第一季度</w:t>
      </w:r>
      <w:r>
        <w:rPr>
          <w:rFonts w:ascii="等线" w:hAnsi="等线" w:eastAsia="等线"/>
        </w:rPr>
        <w:t>，规模希望达到万级；原先希望 2027 年底达到十万级，目前时间可能落在 2027 年底至 2028 年初；</w:t>
      </w:r>
      <w:r>
        <w:rPr>
          <w:rFonts w:ascii="等线" w:hAnsi="等线" w:eastAsia="等线"/>
          <w:b/>
          <w:highlight w:val="yellow"/>
        </w:rPr>
        <w:t>真正达到百万级出货，原先预计在 2028—2029 年</w:t>
      </w:r>
      <w:r>
        <w:rPr>
          <w:rFonts w:ascii="等线" w:hAnsi="等线" w:eastAsia="等线"/>
        </w:rPr>
        <w:t>，现可能延后至 2028 年下半年、2028 年底至 2029 年初，甚至 2030 年。总体逻辑和数量级预期没有根本变化，时间前后可能调整一至两个季度。</w:t>
      </w:r>
    </w:p>
    <w:p w14:paraId="4D9137F5">
      <w:pPr>
        <w:pStyle w:val="4"/>
        <w:keepNext/>
      </w:pPr>
      <w:r>
        <w:rPr>
          <w:rFonts w:ascii="等线" w:hAnsi="等线" w:eastAsia="等线"/>
        </w:rPr>
        <w:t>九、Glass Bridge 的商业化时间和量级</w:t>
      </w:r>
    </w:p>
    <w:p w14:paraId="360B9295">
      <w:pPr>
        <w:widowControl/>
        <w:ind w:firstLine="0"/>
      </w:pPr>
      <w:r>
        <w:rPr>
          <w:rFonts w:ascii="等线" w:hAnsi="等线" w:eastAsia="等线"/>
          <w:b/>
          <w:color w:val="1F4E79"/>
        </w:rPr>
        <w:t>投资者问：</w:t>
      </w:r>
      <w:r>
        <w:rPr>
          <w:rFonts w:ascii="等线" w:hAnsi="等线" w:eastAsia="等线"/>
        </w:rPr>
        <w:t>玻璃基板已有大致商业化时间判断；Glass Bridge 是否也有预计的商业化时间和量级？</w:t>
      </w:r>
    </w:p>
    <w:p w14:paraId="2D45E517">
      <w:pPr>
        <w:widowControl/>
        <w:ind w:firstLine="0"/>
      </w:pPr>
      <w:r>
        <w:rPr>
          <w:rFonts w:ascii="等线" w:hAnsi="等线" w:eastAsia="等线"/>
          <w:b/>
          <w:color w:val="1F4E79"/>
        </w:rPr>
        <w:t>专家：</w:t>
      </w:r>
      <w:r>
        <w:rPr>
          <w:rFonts w:ascii="等线" w:hAnsi="等线" w:eastAsia="等线"/>
        </w:rPr>
        <w:t>由于没有官方数据，</w:t>
      </w:r>
      <w:r>
        <w:rPr>
          <w:rFonts w:ascii="等线" w:hAnsi="等线" w:eastAsia="等线"/>
          <w:b/>
          <w:highlight w:val="yellow"/>
        </w:rPr>
        <w:t>以下仅为专家猜测</w:t>
      </w:r>
      <w:r>
        <w:rPr>
          <w:rFonts w:ascii="等线" w:hAnsi="等线" w:eastAsia="等线"/>
        </w:rPr>
        <w:t xml:space="preserve">。Glass Bridge 的首批认证可能从英伟达 Rubin Ultra 开始，时间节点或在 2027 年，即约一年至一年半以后。如果 Rubin Ultra 能在 2028 年顺利放量，Glass Bridge 可能像玻璃中介层或玻璃芯基板一样，随主流产品开始小规模落地和实物验证。可以暂时把 </w:t>
      </w:r>
      <w:r>
        <w:rPr>
          <w:rFonts w:ascii="等线" w:hAnsi="等线" w:eastAsia="等线"/>
          <w:b/>
          <w:highlight w:val="yellow"/>
        </w:rPr>
        <w:t>2027 年视为认证节点、2028 年视为验证节点</w:t>
      </w:r>
      <w:r>
        <w:rPr>
          <w:rFonts w:ascii="等线" w:hAnsi="等线" w:eastAsia="等线"/>
        </w:rPr>
        <w:t>。认证阶段规模通常较小，可能是百级至千级；验证阶段可观察能否达到数千至一万级。</w:t>
      </w:r>
    </w:p>
    <w:p w14:paraId="6CE2FD17">
      <w:pPr>
        <w:widowControl/>
        <w:ind w:firstLine="0"/>
      </w:pPr>
      <w:r>
        <w:rPr>
          <w:rFonts w:ascii="等线" w:hAnsi="等线" w:eastAsia="等线"/>
          <w:b/>
          <w:color w:val="1F4E79"/>
        </w:rPr>
        <w:t>投资者追问：</w:t>
      </w:r>
      <w:r>
        <w:rPr>
          <w:rFonts w:ascii="等线" w:hAnsi="等线" w:eastAsia="等线"/>
        </w:rPr>
        <w:t>Glass Bridge 若能改善良率，是否也可能反过来提升 CPO 整体方案的渗透率？</w:t>
      </w:r>
    </w:p>
    <w:p w14:paraId="22EDA4C8">
      <w:pPr>
        <w:widowControl/>
        <w:ind w:firstLine="0"/>
      </w:pPr>
      <w:r>
        <w:rPr>
          <w:rFonts w:ascii="等线" w:hAnsi="等线" w:eastAsia="等线"/>
          <w:b/>
          <w:color w:val="1F4E79"/>
        </w:rPr>
        <w:t>专家：</w:t>
      </w:r>
      <w:r>
        <w:rPr>
          <w:rFonts w:ascii="等线" w:hAnsi="等线" w:eastAsia="等线"/>
        </w:rPr>
        <w:t>良率直接关系加工制造方的成本，是终端客户评估投入产出比的重要因素。但</w:t>
      </w:r>
      <w:r>
        <w:rPr>
          <w:rFonts w:ascii="等线" w:hAnsi="等线" w:eastAsia="等线"/>
          <w:b/>
          <w:highlight w:val="yellow"/>
        </w:rPr>
        <w:t>目前没有任何可信数据可以说明 Glass Bridge 的良率水平</w:t>
      </w:r>
      <w:r>
        <w:rPr>
          <w:rFonts w:ascii="等线" w:hAnsi="等线" w:eastAsia="等线"/>
        </w:rPr>
        <w:t>，专家本人也没有相关数据。该技术目前仍处于技术发布和可行性展示阶段，只有进入足够规模的小批量验证、并与客户共同推进后，才会开始出现可参考的良率数据。</w:t>
      </w:r>
    </w:p>
    <w:p w14:paraId="7A10FDB8">
      <w:pPr>
        <w:pStyle w:val="4"/>
        <w:keepNext/>
      </w:pPr>
      <w:r>
        <w:rPr>
          <w:rFonts w:ascii="等线" w:hAnsi="等线" w:eastAsia="等线"/>
        </w:rPr>
        <w:t>十、关于玻璃中介层电容与堆叠工艺</w:t>
      </w:r>
    </w:p>
    <w:p w14:paraId="39AFC869">
      <w:pPr>
        <w:widowControl/>
        <w:ind w:firstLine="0"/>
      </w:pPr>
      <w:r>
        <w:rPr>
          <w:rFonts w:ascii="等线" w:hAnsi="等线" w:eastAsia="等线"/>
          <w:b/>
          <w:color w:val="1F4E79"/>
        </w:rPr>
        <w:t>投资者问：</w:t>
      </w:r>
      <w:r>
        <w:rPr>
          <w:rFonts w:ascii="等线" w:hAnsi="等线" w:eastAsia="等线"/>
        </w:rPr>
        <w:t>Glass Bridge 用于玻璃中介层时，集成电容密度能达到多少？采用堆叠、刻蚀还是混合键合方案？</w:t>
      </w:r>
    </w:p>
    <w:p w14:paraId="32B6EDE2">
      <w:pPr>
        <w:widowControl/>
        <w:ind w:firstLine="0"/>
      </w:pPr>
      <w:r>
        <w:rPr>
          <w:rFonts w:ascii="等线" w:hAnsi="等线" w:eastAsia="等线"/>
          <w:b/>
          <w:color w:val="1F4E79"/>
        </w:rPr>
        <w:t>专家：</w:t>
      </w:r>
      <w:r>
        <w:rPr>
          <w:rFonts w:ascii="等线" w:hAnsi="等线" w:eastAsia="等线"/>
        </w:rPr>
        <w:t>专家表示，没有听说玻璃基板刻蚀工艺中需要形成所谓“集成电容”。玻璃中介层的核心功能是连接（interface），电容补偿更多位于电源和信号层面，并非负责通断；因此无法根据该提问给出所谓集成电容密度数据。</w:t>
      </w:r>
    </w:p>
    <w:p w14:paraId="4B03CF4F">
      <w:pPr>
        <w:widowControl/>
        <w:ind w:firstLine="0"/>
      </w:pPr>
      <w:r>
        <w:rPr>
          <w:rFonts w:ascii="等线" w:hAnsi="等线" w:eastAsia="等线"/>
          <w:b/>
          <w:color w:val="1F4E79"/>
        </w:rPr>
        <w:t>投资者补充：</w:t>
      </w:r>
      <w:r>
        <w:rPr>
          <w:rFonts w:ascii="等线" w:hAnsi="等线" w:eastAsia="等线"/>
        </w:rPr>
        <w:t>投资者进一步说明，其关注点是玻璃相较硅中介层在高功率、高带宽传输下的寄生效应，以及玻璃与硅在相关性能上的差异。</w:t>
      </w:r>
    </w:p>
    <w:p w14:paraId="40BF24D3">
      <w:pPr>
        <w:widowControl/>
        <w:ind w:firstLine="0"/>
      </w:pPr>
      <w:r>
        <w:rPr>
          <w:rFonts w:ascii="等线" w:hAnsi="等线" w:eastAsia="等线"/>
          <w:b/>
          <w:color w:val="1F4E79"/>
        </w:rPr>
        <w:t>专家：</w:t>
      </w:r>
      <w:r>
        <w:rPr>
          <w:rFonts w:ascii="等线" w:hAnsi="等线" w:eastAsia="等线"/>
        </w:rPr>
        <w:t>若讨论高功率，需要关注 CTE（热膨胀系数）；若讨论 100G、200G 等高速信号带宽，则需要关注玻璃基材的掺杂与配方，因为铝、硼、硅及钠、钾等碱金属氧化物的比例会影响信号衰减。例如高碱材料可能加快信号衰减。适用于高速信号传输的玻璃基材有特定要求，这些性能在玻璃配方阶段已经固化。专家没有接触过通过设计寄生电容或集成电容来降低信号衰减的工艺逻辑。至于玻璃中介层向上堆叠时的连接，采用刻蚀形成 RDL 金属线路层，再由金属层之间直接对接。</w:t>
      </w:r>
    </w:p>
    <w:p w14:paraId="5791A9AB">
      <w:pPr>
        <w:pStyle w:val="4"/>
        <w:keepNext/>
      </w:pPr>
      <w:r>
        <w:rPr>
          <w:rFonts w:ascii="等线" w:hAnsi="等线" w:eastAsia="等线"/>
        </w:rPr>
        <w:t>十一、与京东方的合作</w:t>
      </w:r>
    </w:p>
    <w:p w14:paraId="1712508A">
      <w:pPr>
        <w:widowControl/>
        <w:ind w:firstLine="0"/>
      </w:pPr>
      <w:r>
        <w:rPr>
          <w:rFonts w:ascii="等线" w:hAnsi="等线" w:eastAsia="等线"/>
          <w:b/>
          <w:color w:val="1F4E79"/>
        </w:rPr>
        <w:t>文字提问：</w:t>
      </w:r>
      <w:r>
        <w:rPr>
          <w:rFonts w:ascii="等线" w:hAnsi="等线" w:eastAsia="等线"/>
        </w:rPr>
        <w:t>如何看待京东方在该业务中的定位？京东方与康宁是否在玻璃基板及 Glass Bridge 方面开展合作？</w:t>
      </w:r>
    </w:p>
    <w:p w14:paraId="2897A9CE">
      <w:pPr>
        <w:widowControl/>
        <w:ind w:firstLine="0"/>
      </w:pPr>
      <w:r>
        <w:rPr>
          <w:rFonts w:ascii="等线" w:hAnsi="等线" w:eastAsia="等线"/>
          <w:b/>
          <w:color w:val="1F4E79"/>
        </w:rPr>
        <w:t>专家：</w:t>
      </w:r>
      <w:r>
        <w:rPr>
          <w:rFonts w:ascii="等线" w:hAnsi="等线" w:eastAsia="等线"/>
        </w:rPr>
        <w:t>京东方与康宁确有合作，并已签署三年战略合作协议。但从协议内容看，</w:t>
      </w:r>
      <w:r>
        <w:rPr>
          <w:rFonts w:ascii="等线" w:hAnsi="等线" w:eastAsia="等线"/>
          <w:b/>
          <w:highlight w:val="yellow"/>
        </w:rPr>
        <w:t>当前合作聚焦玻璃基板，不包括 Glass Bridge</w:t>
      </w:r>
      <w:r>
        <w:rPr>
          <w:rFonts w:ascii="等线" w:hAnsi="等线" w:eastAsia="等线"/>
        </w:rPr>
        <w:t>。康宁的主要角色是向京东方供应玻璃基板原片，并根据原片提供 TGV 后端工艺建议和工程服务。后续加工，包括激光诱导刻蚀、垂直通道、RDL 平面线路以及原片切割等，均由京东方在自己的工厂、使用自有设备完成。因此，现阶段合作逻辑是原片供应以及技术方案服务与配合，尚未听说涉及 Glass Bridge。</w:t>
      </w:r>
    </w:p>
    <w:sectPr>
      <w:pgSz w:w="12240" w:h="15840"/>
      <w:pgMar w:top="1247" w:right="1361" w:bottom="1247" w:left="136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FFont-Family"/>
    <w:panose1 w:val="00000000000000000000"/>
    <w:charset w:val="00"/>
    <w:family w:val="auto"/>
    <w:pitch w:val="default"/>
    <w:sig w:usb0="00000000" w:usb1="00000000" w:usb2="00000000" w:usb3="00000000" w:csb0="00000000" w:csb1="00000000"/>
  </w:font>
  <w:font w:name="FFont-Family">
    <w:panose1 w:val="02000509000000000000"/>
    <w:charset w:val="00"/>
    <w:family w:val="auto"/>
    <w:pitch w:val="default"/>
    <w:sig w:usb0="00000001"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48" w:lineRule="auto"/>
      </w:pPr>
      <w:r>
        <w:separator/>
      </w:r>
    </w:p>
  </w:footnote>
  <w:footnote w:type="continuationSeparator" w:id="1">
    <w:p>
      <w:pPr>
        <w:spacing w:before="0" w:after="0" w:line="34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28790A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348" w:lineRule="auto"/>
      <w:ind w:firstLine="420"/>
    </w:pPr>
    <w:rPr>
      <w:rFonts w:ascii="等线" w:hAnsi="等线" w:eastAsia="等线" w:cstheme="minorBidi"/>
      <w:sz w:val="22"/>
      <w:szCs w:val="22"/>
      <w:lang w:val="en-US" w:eastAsia="en-US" w:bidi="ar-SA"/>
    </w:rPr>
  </w:style>
  <w:style w:type="paragraph" w:styleId="3">
    <w:name w:val="heading 1"/>
    <w:basedOn w:val="1"/>
    <w:next w:val="1"/>
    <w:link w:val="138"/>
    <w:qFormat/>
    <w:uiPriority w:val="9"/>
    <w:pPr>
      <w:keepNext/>
      <w:keepLines/>
      <w:spacing w:before="200" w:after="100"/>
      <w:outlineLvl w:val="0"/>
    </w:pPr>
    <w:rPr>
      <w:rFonts w:asciiTheme="majorHAnsi" w:hAnsiTheme="majorHAnsi" w:eastAsiaTheme="majorEastAsia" w:cstheme="majorBidi"/>
      <w:b/>
      <w:bCs/>
      <w:color w:val="1F4E79"/>
      <w:sz w:val="30"/>
      <w:szCs w:val="28"/>
    </w:rPr>
  </w:style>
  <w:style w:type="paragraph" w:styleId="4">
    <w:name w:val="heading 2"/>
    <w:basedOn w:val="1"/>
    <w:next w:val="1"/>
    <w:link w:val="139"/>
    <w:unhideWhenUsed/>
    <w:qFormat/>
    <w:uiPriority w:val="9"/>
    <w:pPr>
      <w:keepNext/>
      <w:keepLines/>
      <w:spacing w:before="200" w:after="100"/>
      <w:outlineLvl w:val="1"/>
    </w:pPr>
    <w:rPr>
      <w:rFonts w:asciiTheme="majorHAnsi" w:hAnsiTheme="majorHAnsi" w:eastAsiaTheme="majorEastAsia" w:cstheme="majorBidi"/>
      <w:b/>
      <w:bCs/>
      <w:color w:val="2F5597"/>
      <w:sz w:val="25"/>
      <w:szCs w:val="26"/>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5123</Words>
  <Characters>5937</Characters>
  <Lines>0</Lines>
  <Paragraphs>0</Paragraphs>
  <TotalTime>0</TotalTime>
  <ScaleCrop>false</ScaleCrop>
  <LinksUpToDate>false</LinksUpToDate>
  <CharactersWithSpaces>6243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酒醉人醒</cp:lastModifiedBy>
  <dcterms:modified xsi:type="dcterms:W3CDTF">2026-06-28T16:33:30Z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eyJoZGlkIjoiNDM4MTI5MTFmMGY5ZjY4NGUxMzkyMWNmMDdkNTZiNmUiLCJ1c2VySWQiOiIyODgxNzcwNzUifQ==</vt:lpwstr>
  </property>
  <property fmtid="{D5CDD505-2E9C-101B-9397-08002B2CF9AE}" pid="3" name="KSOProductBuildVer">
    <vt:lpwstr>2052-12.1.0.26375</vt:lpwstr>
  </property>
  <property fmtid="{D5CDD505-2E9C-101B-9397-08002B2CF9AE}" pid="4" name="ICV">
    <vt:lpwstr>143E55641A244D939CED121EA265B914_12</vt:lpwstr>
  </property>
</Properties>
</file>