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Microsoft YaHei" w:cs="Microsoft YaHei" w:eastAsia="Microsoft YaHei" w:hAnsi="Microsoft YaHei"/>
          <w:b/>
          <w:bCs/>
          <w:color w:val="000000"/>
          <w:sz w:val="34"/>
          <w:szCs w:val="34"/>
        </w:rPr>
        <w:t xml:space="preserve">南方基金“全球投资说”直播纪要</w:t>
      </w:r>
    </w:p>
    <w:p>
      <w:pPr>
        <w:spacing w:after="200" w:before="0"/>
        <w:jc w:val="center"/>
      </w:pPr>
      <w:r>
        <w:rPr>
          <w:rFonts w:ascii="Microsoft YaHei" w:cs="Microsoft YaHei" w:eastAsia="Microsoft YaHei" w:hAnsi="Microsoft YaHei"/>
          <w:b w:val="false"/>
          <w:bCs w:val="false"/>
          <w:color w:val="404040"/>
          <w:sz w:val="22"/>
          <w:szCs w:val="22"/>
        </w:rPr>
        <w:t xml:space="preserve">AI芯片热度不减，海外投资一览</w:t>
      </w:r>
    </w:p>
    <w:p>
      <w:pPr>
        <w:pStyle w:val="Heading1"/>
      </w:pPr>
      <w:r>
        <w:t xml:space="preserve">一、会议基本信息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项目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内容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主办方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南方基金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时间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2026年6月3日（周三）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主题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“全球投资说”周三直播专场；AI芯片产业链与海外科技资产投资工具梳理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演讲人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南方基金直播主持人（昵称“冉仔/然仔”，职务未明确）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会议形式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基金投教及产品介绍直播；含少量直播间观众文字互动，无机构分析师Q&amp;A环节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文本说明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本纪要基于ASR修正稿整理，部分产品额度与回撤数据为演讲人口述，建议结合产品定期报告及公司公告复核</w:t>
            </w:r>
          </w:p>
        </w:tc>
      </w:tr>
    </w:tbl>
    <w:p>
      <w:pPr>
        <w:spacing w:after="40"/>
      </w:pPr>
    </w:p>
    <w:p>
      <w:pPr>
        <w:pStyle w:val="Heading1"/>
      </w:pPr>
      <w:r>
        <w:t xml:space="preserve">二、核心要点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直播聚焦AI芯片板块；当日A股领涨，科创50与创业板涨幅均超3%，前一日恒生科技指数因腾讯AI相关消息上涨4%。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演讲人判断AI板块业绩“实实在在”、由盈利增速支撑；纳指当前估值约40倍，远低于2000年前后科网泡沫时约800倍，结合高增长属合理区间，长周期主题下估值不必过度担忧。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海外科技工具梳理：纳指（限额偏紧）、南方纳斯达克100（QDII，限额200元/天）、南方亚太精选（限额约2000元，覆盖亚太多市场、含近期热门科技个股）、恒生科技、南方港股数字经济混合、南方全球精选配置（QDII-FOF）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QDII额度普遍收紧；增配美股两条路径：日定投A、C份额各200元（合计400元/天、2000元/周），或借道额度更宽松的美股主动基金（如南方全球精选配置）。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南方全球精选配置定位股债搭配的QDII-FOF：80%仓位按6:4配置美股与美债，20%灵活配置非美资产（欧洲、加拿大、日本、中国等新兴市场股票、商品、黄金）；近一年最大回撤约7%，低于纳指约13%。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港股观点：中东冲突升级背景下较日韩更具韧性（受国内基本面与全球资金双重影响）；迪拜股市楼市遭恐慌性抛售，资金回流香港，港股与香港楼市反弹、南向资金持续流入，演讲人判断处触底反弹时点。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港股弱势主因：本地资金占比低、全球资金进出快，波动率显著高于A股与美股；美股虽全球化但本地资金体量大，可消化外资冲击。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股科技（科创50，偏半导体设备、芯片等硬件，成长空间大但盈利不确定、受国内政策资金影响）与恒生科技（腾讯、阿里、美团、百度等互联网龙头，模式清晰、盈利稳定，但定价受外资影响大）定位不同：看好AI硬件偏A股，看好AI软件应用偏恒生科技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弱势市场（恒生科技、恒生生物科技）建议左侧布局、低位定投，情绪低点埋伏、资金回流情绪高涨时止盈。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美股近期反弹主因：以英伟达为首的产业链暴涨、中东（美伊）冲突告一段落使成长股环境趋稳、财报披露亮眼，AI投资热潮延续。</w:t>
      </w:r>
    </w:p>
    <w:p>
      <w:pPr>
        <w:pStyle w:val="ListParagraph"/>
        <w:numPr>
          <w:ilvl w:val="0"/>
          <w:numId w:val="2"/>
        </w:numPr>
        <w:spacing w:after="7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6月配置思路（回应观众提问）：纠结行业或不愿判断者关注宽基（沪深300、中证A500、科创50、创业板、双创50、中证500）；看好科技赛道者关注南方信息创新、南方科创板芯片、南方创业板人工智能、南方中证机器人；判断科技偏高、看好高切低者关注有色（年初以来回调、近期现反转迹象）。</w:t>
      </w:r>
    </w:p>
    <w:p>
      <w:pPr>
        <w:spacing w:after="40"/>
      </w:pPr>
    </w:p>
    <w:p>
      <w:pPr>
        <w:pStyle w:val="Heading1"/>
      </w:pPr>
      <w:r>
        <w:t xml:space="preserve">三、演讲人陈述</w:t>
      </w:r>
    </w:p>
    <w:p>
      <w:pPr>
        <w:pStyle w:val="Heading2"/>
      </w:pPr>
      <w:r>
        <w:t xml:space="preserve">1. 当日行情与AI估值判断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直播主题为AI芯片板块；当日芯片行情火热，A股表现强于港股，科创50、创业板涨幅均超3%。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前一日恒生科技指数上涨4%，主因龙头腾讯发布AI相关消息（具体内容未明确）刺激相关个股，叠加此前深跌后的资金切换。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AI泡沫与估值：美股估值偏高反映投资者对AI的高预期，但产业链重要企业业绩亮眼、盈利增速“实实在在”，业绩上行又推升估值。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纵向对比：纳指当前估值约40倍，远低于2000年前后科网泡沫时约800倍，泡沫程度相对较小；科技行业高增长可快速消化估值上行。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结论：若认可AI为长周期主题，当前估值无需过度担忧。</w:t>
      </w:r>
    </w:p>
    <w:p>
      <w:pPr>
        <w:pStyle w:val="Heading2"/>
      </w:pPr>
      <w:r>
        <w:t xml:space="preserve">2. AI产业链结构与境内指数工具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产业链划分：上游为硬件（芯片、存储、CPU、设备等），下游为AI落地应用（软件、互联网、新能源汽车、机器人、计算机、媒体、家电等）；当前行情聚焦上游硬件。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境内指数工具：覆盖全产业链可关注科创综指、双创50；偏上游可关注科创芯片、半导体产业指数、创业板人工智能；偏下游可关注机器人、计算机等方向。</w:t>
      </w:r>
    </w:p>
    <w:p>
      <w:pPr>
        <w:pStyle w:val="Heading2"/>
      </w:pPr>
      <w:r>
        <w:t xml:space="preserve">3. 海外科技资产、QDII额度与美股增配路径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海外科技工具：纳指为首选但限额偏紧；南方纳斯达克100为QDII产品，申购限额200元/天；南方亚太精选覆盖亚太多个市场、行业相对均衡且含近期表现较好的科技个股，限额约2000元（演讲人凭记忆，待核），相对宽松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额度收紧原因：各基金公司QDII对外投资额度受限，可供申购额度普遍收紧。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增配美股路径一：日定投，A、C份额各定投200元，合计400元/天、2000元/周。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增配美股路径二：借道额度更宽松的美股主动基金，如南方全球精选配置（股债搭配产品）。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美股近期反弹主因：以英伟达为首的相关产业链暴涨；中东（美伊）冲突告一段落，成长股外部环境趋稳；财报披露亮眼；AI投资热潮延续，海外投资热度高。</w:t>
      </w:r>
    </w:p>
    <w:p>
      <w:pPr>
        <w:pStyle w:val="Heading2"/>
      </w:pPr>
      <w:r>
        <w:t xml:space="preserve">4. 港股专题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弱势主因：港股为国际化市场，资金主要来自欧美、东南亚等全球各地，本地资金占比低；全球资金流动性强、进出快，波动率远高于A股与美股。美股虽同为全球化市场，但本地资金体量大，可承受并消化外资冲击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中东冲突下的韧性：港股同时受国内基本面与全球资金双重因素影响；中国供应链可在国内闭环、能源与矿产可部分自给，本轮中东冲突对国内影响小于海外市场，港股较日韩更具韧性。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避风港逻辑：中东冲突中迪拜股市与楼市遭恐慌性抛售，原“全球安全岛”地位动摇；香港兼具资金全球流动与环境稳定，重新成为国际资本关注的避风港；香港楼市明显反弹，港股南向资金持续流入，演讲人认为已至触底反弹时机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股科技与恒生科技对比：恒生科技成分以腾讯、阿里、美团、百度等成熟互联网龙头为主，商业模式清晰、盈利稳定，但定价受外资影响大；A股科技（如科创50）更侧重半导体设备、芯片等硬件端，成长空间大但盈利不确定性高、受国内政策与资金影响。看好AI硬件可偏向A股，看好后续AI软件应用可关注恒生科技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弱势市场策略：对恒生科技、恒生生物科技等今年以来表现偏弱的市场，建议左侧布局、低位定投，于情绪低点埋伏、资金回流与情绪高涨时止盈，需具备耐心。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港股主动产品：南方港股数字经济混合，聚焦港股市场的主动管理型产品，亦可配置A股。</w:t>
      </w:r>
    </w:p>
    <w:p>
      <w:pPr>
        <w:pStyle w:val="Heading2"/>
      </w:pPr>
      <w:r>
        <w:t xml:space="preserve">5. 全球资产配置与南方全球精选配置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仓位策略：80%仓位为稳定配置，按6:4比例配置美股与美债；20%仓位灵活配置非美资产，包括欧洲、加拿大、日本、中国等新兴市场股票、商品及黄金（演讲人就20%是否含韩国先提及后自我更正为不含）。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配置优势：降低单一市场系统性波动；覆盖各国优势产业（如韩国存储、美国AI、中国新能源）；平衡各区域估值差异，使组合更稳健。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回撤表现：近一年最大回撤约7%，低于纳指同期约13%。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产品结构：QDII-FOF；QDII指对外投资（境外）产品，FOF指基金中的基金，该产品80%仓位投资于基金。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与“科技型全球精选”区别：后者全仓配置A股、美股、港股及日韩科技，弹性高、收益曲线陡峭；南方全球精选配置跨区域、跨资产（股票、债券、黄金）配置，曲线相对平稳，适合有境外投资需求但难以在港股、美股、美债间分配的投资者。</w:t>
      </w:r>
    </w:p>
    <w:p>
      <w:pPr>
        <w:pStyle w:val="Heading2"/>
      </w:pPr>
      <w:r>
        <w:t xml:space="preserve">6. 日本与韩国市场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韩国市场：全球化市场，可类比港股；本地资金体量相对全球资金偏小，资金涌入易大幅抬升股价，近期波动大、频现涨跌熔断，呈高风险高收益特征，提示注意高波动风险。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日本市场：受央行刺激，宽松政策推动日股市盈率修复，近期表现较好。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工具：兼顾日本与韩国的产品选择有限，投资亚洲市场可关注南方亚太精选。</w:t>
      </w:r>
    </w:p>
    <w:p>
      <w:pPr>
        <w:pStyle w:val="Heading2"/>
      </w:pPr>
      <w:r>
        <w:t xml:space="preserve">7. 波动率与风险匹配（投教要点）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判断基金波动的两种方法：一看历史最大回撤，二看股票资产占比（股票占比越高波动越大）。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股票波动幅度：创业板、科创板单日涨跌停为20%；全仓股票单日波动约上下10%至20%（均值约15%），以10万元计单日约上下1.5万元。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基金类型波动：固收加（约80%至90%股票加债券）与股票型（约95%股票加现金）单日波动约上下7%至8%；赛道型基金（如半导体设备）波动更大。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风险匹配：能承受高波动者可配置高风险资产或科技主动基金（如南方信息创新，聚焦半导体设备）；厌恶波动者宜配置相对均衡、控回撤的产品（如南方全球精选配置、南方亚太精选）。</w:t>
      </w:r>
    </w:p>
    <w:p>
      <w:pPr>
        <w:pStyle w:val="Heading2"/>
      </w:pPr>
      <w:r>
        <w:t xml:space="preserve">8. 投资建议与产品建议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总体思路：当前指数普遍经历回调，纠结行业或不愿判断者可配置宽基；看好科技赛道者可配置科技主动基金；判断科技估值偏高、看好高切低者可关注有色。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演讲人强调以上为产品方向梳理，需投资者结合自身风险偏好自行判断。</w:t>
      </w:r>
    </w:p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13"/>
        <w:gridCol w:w="3213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方向</w:t>
            </w:r>
          </w:p>
        </w:tc>
        <w:tc>
          <w:tcPr>
            <w:tcW w:type="dxa" w:w="34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核心推荐</w:t>
            </w:r>
          </w:p>
        </w:tc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补充关注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宽基（纠结行业/不愿判断）</w:t>
            </w:r>
          </w:p>
        </w:tc>
        <w:tc>
          <w:tcPr>
            <w:tcW w:type="dxa" w:w="34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沪深300、中证A500</w:t>
            </w:r>
          </w:p>
        </w:tc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科创50、创业板、双创50、中证500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境内科技赛道</w:t>
            </w:r>
          </w:p>
        </w:tc>
        <w:tc>
          <w:tcPr>
            <w:tcW w:type="dxa" w:w="34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南方信息创新、南方科创板芯片</w:t>
            </w:r>
          </w:p>
        </w:tc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南方创业板人工智能、南方中证机器人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海外科技与全球配置</w:t>
            </w:r>
          </w:p>
        </w:tc>
        <w:tc>
          <w:tcPr>
            <w:tcW w:type="dxa" w:w="34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南方纳斯达克100、南方全球精选配置</w:t>
            </w:r>
          </w:p>
        </w:tc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南方亚太精选、恒生科技、南方港股数字经济混合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高切低/顺周期</w:t>
            </w:r>
          </w:p>
        </w:tc>
        <w:tc>
          <w:tcPr>
            <w:tcW w:type="dxa" w:w="34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有色板块相关基金</w:t>
            </w:r>
          </w:p>
        </w:tc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暂未提及具体产品</w:t>
            </w:r>
          </w:p>
        </w:tc>
      </w:tr>
    </w:tbl>
    <w:p>
      <w:pPr>
        <w:spacing w:after="40"/>
      </w:pPr>
    </w:p>
    <w:p>
      <w:pPr>
        <w:pStyle w:val="Heading1"/>
      </w:pPr>
      <w:r>
        <w:t xml:space="preserve">四、Q&amp;A</w:t>
      </w:r>
    </w:p>
    <w:p>
      <w:pPr>
        <w:spacing w:after="80" w:line="264" w:lineRule="auto"/>
        <w:ind w:left="30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Q（直播间观众）：</w:t>
      </w:r>
      <w:r>
        <w:rPr>
          <w:rFonts w:ascii="Microsoft YaHei" w:cs="Microsoft YaHei" w:eastAsia="Microsoft YaHei" w:hAnsi="Microsoft YaHei"/>
          <w:sz w:val="21"/>
          <w:szCs w:val="21"/>
        </w:rPr>
        <w:t xml:space="preserve">6月该买哪些基金？</w:t>
      </w:r>
    </w:p>
    <w:p>
      <w:pPr>
        <w:spacing w:after="80" w:line="264" w:lineRule="auto"/>
        <w:ind w:left="300"/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sz w:val="21"/>
          <w:szCs w:val="21"/>
        </w:rPr>
        <w:t xml:space="preserve">5月上证指数在“特朗普[来访]前”达到高点4200余点，随后回调至约4000点。当下若纠结行业或不愿判断，可关注宽基指数（沪深300、中证A500、科创50、创业板、双创50、中证500）；若看好科技赛道，可关注南方信息创新、南方科创板芯片、南方创业板人工智能、南方中证机器人；若判断科技估值偏高、看好高切低，可关注有色板块（年初以来持续回调、近期出现反转迹象）；海外可继续关注纳斯达克（200元/天日定投）、恒生科技及南方全球精选配置。需投资者自行判断。</w:t>
      </w:r>
    </w:p>
    <w:p>
      <w:pPr>
        <w:spacing w:after="40"/>
      </w:pPr>
    </w:p>
    <w:p>
      <w:pPr>
        <w:pStyle w:val="Heading1"/>
      </w:pPr>
      <w:r>
        <w:t xml:space="preserve">五、关键数据汇总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26"/>
        <w:gridCol w:w="250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指标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数值/口径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备注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当日科创50、创业板涨幅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均超3%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A股，直播当日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前一日恒生科技指数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上涨4%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受腾讯AI相关消息刺激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纳指当前估值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约40倍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演讲人引述；对比2000年前后约800倍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2000年前后科网泡沫纳指估值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约800倍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历史对比，年份口径待核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南方纳斯达克100（QDII）申购限额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200元/天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QDII额度收紧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南方亚太精选申购限额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约2000元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演讲人凭记忆所述，待核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日定投增配美股（示例）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A、C份额各200元，合计400元/天、2000元/周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演讲人示例方案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南方全球精选配置近一年最大回撤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约7%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演讲人引述，区间口径待核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纳斯达克指数近一年最大回撤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约13%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演讲人引述，区间口径待核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南方全球精选配置仓位结构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80%按6:4配美股与美债，20%灵活配非美资产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全仓股票单日波动（示例）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约上下10%至20%（均值约15%），10万元约上下1.5万元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演讲人投教举例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股票型/固收加基金单日波动（示例）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约上下7%至8%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演讲人投教举例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创业板、科创板单日涨跌停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20%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/>
                <w:bCs/>
                <w:sz w:val="20"/>
                <w:szCs w:val="20"/>
              </w:rPr>
              <w:t xml:space="preserve">上证指数5月高点至当前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4200余点回落至约4000点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20"/>
                <w:szCs w:val="20"/>
              </w:rPr>
              <w:t xml:space="preserve">5月高点位于“特朗普[来访]前”，事件待核</w:t>
            </w:r>
          </w:p>
        </w:tc>
      </w:tr>
    </w:tbl>
    <w:p>
      <w:pPr>
        <w:spacing w:after="40"/>
      </w:pPr>
    </w:p>
    <w:p>
      <w:pPr>
        <w:pStyle w:val="Heading1"/>
      </w:pPr>
      <w:r>
        <w:t xml:space="preserve">六、文本备注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演讲人以昵称“冉仔/然仔”两种写法出现，疑为同一主持人，职务未明确，正文统一以“演讲人”指代。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基于行业常识的谨慎修正：科创综指（原ASR“科创宗旨”）、QDII-FOF（原ASR“ff/FP/fop/丰富产品”等）、亚太/亚洲太平洋（原ASR“YP”）。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南方亚太精选申购限额约2000元为演讲人凭记忆所述（“记得应该是2000元还是多少”），口径不确定，建议核实。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南方全球精选配置近一年最大回撤约7%、纳指约13%为演讲人口述，未注明统计区间口径，建议以产品定期报告核实。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AI泡沫对比年份：原ASR对科网泡沫年份表述不一（先“2001年”后“2000010年”），本纪要统一表述为“2000年前后”，建议核实。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“特朗普[来访]前”为5月上证高点的时间锚，原文表述模糊（“特朗普来来前”），具体事件待核。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全仓股票上下约15%、股票型基金上下约7%至8%等波动幅度为演讲人投教举例，非特定产品实际数据。</w:t>
      </w:r>
    </w:p>
    <w:p>
      <w:pPr>
        <w:pStyle w:val="ListParagraph"/>
        <w:numPr>
          <w:ilvl w:val="0"/>
          <w:numId w:val="3"/>
        </w:numPr>
        <w:spacing w:after="60" w:line="260" w:lineRule="auto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本场为基金投教及产品介绍直播，文中所有产品方向与配置思路均为演讲人观点，不构成投资建议。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60"/>
      <w:outlineLvl w:val="0"/>
    </w:pPr>
    <w:rPr>
      <w:rFonts w:ascii="Microsoft YaHei" w:cs="Microsoft YaHei" w:eastAsia="Microsoft YaHei" w:hAnsi="Microsoft YaHe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160"/>
      <w:outlineLvl w:val="1"/>
    </w:pPr>
    <w:rPr>
      <w:rFonts w:ascii="Microsoft YaHei" w:cs="Microsoft YaHei" w:eastAsia="Microsoft YaHei" w:hAnsi="Microsoft YaHei"/>
      <w:b/>
      <w:bCs/>
      <w:color w:val="2E74B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2026-06-03T23:31:16.931Z</dcterms:created>
  <dcterms:modified xsi:type="dcterms:W3CDTF">2026-06-03T23:31:16.932Z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