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Noto Sans CJK SC"/>
          <w:b/>
          <w:color w:val="000000"/>
          <w:sz w:val="40"/>
        </w:rPr>
        <w:t>MLCC 深度汇报纪要</w:t>
      </w:r>
    </w:p>
    <w:p>
      <w:pPr>
        <w:jc w:val="center"/>
      </w:pPr>
      <w:r>
        <w:rPr>
          <w:rFonts w:ascii="Arial" w:hAnsi="Arial" w:eastAsia="Noto Sans CJK SC"/>
          <w:color w:val="646464"/>
          <w:sz w:val="22"/>
        </w:rPr>
        <w:t>AI服务器与汽车电子驱动高端 MLCC 结构性景气｜2026年6月26日原文重构</w:t>
      </w:r>
    </w:p>
    <w:p>
      <w:pPr>
        <w:pStyle w:val="Heading1"/>
      </w:pPr>
      <w:r>
        <w:rPr>
          <w:rFonts w:ascii="Arial" w:hAnsi="Arial" w:eastAsia="Noto Sans CJK SC"/>
        </w:rPr>
        <w:t>一、文本说明与处理口径</w:t>
      </w:r>
    </w:p>
    <w:p>
      <w:pPr/>
      <w:r>
        <w:rPr>
          <w:rFonts w:ascii="Arial" w:hAnsi="Arial" w:eastAsia="Noto Sans CJK SC"/>
        </w:rPr>
        <w:t>本纪要依据用户上传的《MLCC深度汇报+20260626_原文.docx》重构。原文为单人汇报式电话会议转写，时长约22分钟，主题围绕 MLCC 的产品属性、产业链、2026年涨价周期、AI服务器与汽车电子需求、高端产能约束及上游材料成本展开。</w:t>
      </w:r>
    </w:p>
    <w:p>
      <w:pPr/>
      <w:r>
        <w:rPr>
          <w:rFonts w:ascii="Arial" w:hAnsi="Arial" w:eastAsia="Noto Sans CJK SC"/>
        </w:rPr>
        <w:t>原始 ASR 噪声明显，主要表现为“MLCC”被识别为 LCC、MRCC、MCC、LC、NRC、LSC、ISC、ARCC 等多种形态，“高容/低ESL/稼动率/国巨/华新科/国瓷材料/堺化学/Ferro/钛酸钡/锆英砂”等专业词存在错写。本版按行业语境做保守修复，无法确认的个别主体以“待复核”标注。</w:t>
      </w:r>
    </w:p>
    <w:p>
      <w:pPr/>
      <w:r>
        <w:rPr>
          <w:rFonts w:ascii="Arial" w:hAnsi="Arial" w:eastAsia="Noto Sans CJK SC"/>
        </w:rPr>
        <w:t>联网核验只用于公司名、公开行业数据、价格涨幅、交期与明显失真数字的边界校正；不新增原文没有展开的投资标的，不把外部资料扩写为会议结论。涉及价格、交期、稼动率和供需缺口的判断均具有时点属性，需持续跟踪原厂报价、代理库存及下游订单变化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1872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9"/>
              </w:rPr>
              <w:t>项目</w:t>
            </w:r>
          </w:p>
        </w:tc>
        <w:tc>
          <w:tcPr>
            <w:tcW w:type="dxa" w:w="8208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9"/>
              </w:rPr>
              <w:t>内容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9"/>
              </w:rPr>
              <w:t>原文标题</w:t>
            </w:r>
          </w:p>
        </w:tc>
        <w:tc>
          <w:tcPr>
            <w:tcW w:type="dxa" w:w="820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9"/>
              </w:rPr>
              <w:t>MLCC深度汇报+20260626_原文.docx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9"/>
              </w:rPr>
              <w:t>转写时间</w:t>
            </w:r>
          </w:p>
        </w:tc>
        <w:tc>
          <w:tcPr>
            <w:tcW w:type="dxa" w:w="820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9"/>
              </w:rPr>
              <w:t>2026年06月27日 15:14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9"/>
              </w:rPr>
              <w:t>会议性质</w:t>
            </w:r>
          </w:p>
        </w:tc>
        <w:tc>
          <w:tcPr>
            <w:tcW w:type="dxa" w:w="820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9"/>
              </w:rPr>
              <w:t>行业深度汇报 / 产业链与涨价周期跟踪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9"/>
              </w:rPr>
              <w:t>音频/转写时长</w:t>
            </w:r>
          </w:p>
        </w:tc>
        <w:tc>
          <w:tcPr>
            <w:tcW w:type="dxa" w:w="820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9"/>
              </w:rPr>
              <w:t>约22分10秒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9"/>
              </w:rPr>
              <w:t>核心主线</w:t>
            </w:r>
          </w:p>
        </w:tc>
        <w:tc>
          <w:tcPr>
            <w:tcW w:type="dxa" w:w="820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9"/>
              </w:rPr>
              <w:t>AI服务器与汽车电子拉动高端、高容、高可靠 MLCC，供给端受高端产能与上游粉体约束，形成结构性涨价周期。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9"/>
              </w:rPr>
              <w:t>事实边界</w:t>
            </w:r>
          </w:p>
        </w:tc>
        <w:tc>
          <w:tcPr>
            <w:tcW w:type="dxa" w:w="820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9"/>
              </w:rPr>
              <w:t>原文明确口径优先；公开资料可核验的公司与行业数据已修正；原文数字疑似失真但缺乏权威核验时不强行改写。</w:t>
            </w:r>
          </w:p>
        </w:tc>
      </w:tr>
    </w:tbl>
    <w:p>
      <w:pPr>
        <w:spacing w:after="40"/>
      </w:pPr>
    </w:p>
    <w:p>
      <w:pPr>
        <w:pStyle w:val="Heading1"/>
      </w:pPr>
      <w:r>
        <w:rPr>
          <w:rFonts w:ascii="Arial" w:hAnsi="Arial" w:eastAsia="Noto Sans CJK SC"/>
        </w:rPr>
        <w:t>二、核心要点</w:t>
      </w:r>
    </w:p>
    <w:p>
      <w:pPr>
        <w:spacing w:after="80"/>
        <w:ind w:left="173" w:hanging="173"/>
      </w:pPr>
      <w:r>
        <w:rPr>
          <w:rFonts w:ascii="Arial" w:hAnsi="Arial" w:eastAsia="Noto Sans CJK SC"/>
          <w:b/>
          <w:color w:val="1F4E79"/>
        </w:rPr>
        <w:t xml:space="preserve">1. </w:t>
      </w:r>
      <w:r>
        <w:rPr>
          <w:rFonts w:ascii="Arial" w:hAnsi="Arial" w:eastAsia="Noto Sans CJK SC"/>
        </w:rPr>
        <w:t>本轮 MLCC 景气不是单纯的消费电子补库存，而是高端结构性紧缺。2026年2月下旬以来，现货价格率先上行，普通标准品涨幅相对有限，AI服务器用高容型号涨幅更大；价格弹性集中在高容、高可靠、服务器/车规相关产品，中低端通用料号仍偏平稳。</w:t>
      </w:r>
    </w:p>
    <w:p>
      <w:pPr>
        <w:spacing w:after="80"/>
        <w:ind w:left="173" w:hanging="173"/>
      </w:pPr>
      <w:r>
        <w:rPr>
          <w:rFonts w:ascii="Arial" w:hAnsi="Arial" w:eastAsia="Noto Sans CJK SC"/>
          <w:b/>
          <w:color w:val="1F4E79"/>
        </w:rPr>
        <w:t xml:space="preserve">2. </w:t>
      </w:r>
      <w:r>
        <w:rPr>
          <w:rFonts w:ascii="Arial" w:hAnsi="Arial" w:eastAsia="Noto Sans CJK SC"/>
        </w:rPr>
        <w:t>与2017-2018年、2020-2021年两轮涨价相比，2026年周期的驱动更偏产业升级。2017-2018年是全品类缺货叠加转产和囤货，2020-2021年是疫情冲击、宅经济、新能源车和5G共同造成结构性失衡；2026年则更多来自 AI算力和汽车电子两端对高端产能的持续占用。</w:t>
      </w:r>
    </w:p>
    <w:p>
      <w:pPr>
        <w:spacing w:after="80"/>
        <w:ind w:left="173" w:hanging="173"/>
      </w:pPr>
      <w:r>
        <w:rPr>
          <w:rFonts w:ascii="Arial" w:hAnsi="Arial" w:eastAsia="Noto Sans CJK SC"/>
          <w:b/>
          <w:color w:val="1F4E79"/>
        </w:rPr>
        <w:t xml:space="preserve">3. </w:t>
      </w:r>
      <w:r>
        <w:rPr>
          <w:rFonts w:ascii="Arial" w:hAnsi="Arial" w:eastAsia="Noto Sans CJK SC"/>
        </w:rPr>
        <w:t>AI服务器把 MLCC 从“通用被动元件”推向电源完整性和高密度算力硬件的关键配套。高功耗 GPU/加速卡、HBM、CPU/SoC 周边需要更多去耦、滤波和平滑电容，普通服务器与 AI服务器在单机 MLCC 用量、总电容、板级空间约束上出现数量级差异。</w:t>
      </w:r>
    </w:p>
    <w:p>
      <w:pPr>
        <w:spacing w:after="80"/>
        <w:ind w:left="173" w:hanging="173"/>
      </w:pPr>
      <w:r>
        <w:rPr>
          <w:rFonts w:ascii="Arial" w:hAnsi="Arial" w:eastAsia="Noto Sans CJK SC"/>
          <w:b/>
          <w:color w:val="1F4E79"/>
        </w:rPr>
        <w:t xml:space="preserve">4. </w:t>
      </w:r>
      <w:r>
        <w:rPr>
          <w:rFonts w:ascii="Arial" w:hAnsi="Arial" w:eastAsia="Noto Sans CJK SC"/>
        </w:rPr>
        <w:t>汇报口径中，AI服务器功耗约为普通通用服务器的7倍，MLCC用量约为普通服务器的13倍，所需 MLCC 总容量约为27倍。公开资料亦可验证“AI服务器单机用量显著高于普通服务器、最高可达约2.8万颗”的方向性结论，但具体型号和单板需求需以服务器平台 BOM 为准。</w:t>
      </w:r>
    </w:p>
    <w:p>
      <w:pPr>
        <w:spacing w:after="80"/>
        <w:ind w:left="173" w:hanging="173"/>
      </w:pPr>
      <w:r>
        <w:rPr>
          <w:rFonts w:ascii="Arial" w:hAnsi="Arial" w:eastAsia="Noto Sans CJK SC"/>
          <w:b/>
          <w:color w:val="1F4E79"/>
        </w:rPr>
        <w:t xml:space="preserve">5. </w:t>
      </w:r>
      <w:r>
        <w:rPr>
          <w:rFonts w:ascii="Arial" w:hAnsi="Arial" w:eastAsia="Noto Sans CJK SC"/>
        </w:rPr>
        <w:t>AI服务器对 MLCC 的要求不只是“颗数更多”，而是高容、小型化、低 ESR/低 ESL、耐温、可靠性和散热管理同步提升。同样板面积下塞入更高电容密度，热量、布板空间和瞬态响应都会成为设计约束，因此高端 MLCC 产线、粉体、介质薄层化和层压/烧结能力更关键。</w:t>
      </w:r>
    </w:p>
    <w:p>
      <w:pPr>
        <w:spacing w:after="80"/>
        <w:ind w:left="173" w:hanging="173"/>
      </w:pPr>
      <w:r>
        <w:rPr>
          <w:rFonts w:ascii="Arial" w:hAnsi="Arial" w:eastAsia="Noto Sans CJK SC"/>
          <w:b/>
          <w:color w:val="1F4E79"/>
        </w:rPr>
        <w:t xml:space="preserve">6. </w:t>
      </w:r>
      <w:r>
        <w:rPr>
          <w:rFonts w:ascii="Arial" w:hAnsi="Arial" w:eastAsia="Noto Sans CJK SC"/>
        </w:rPr>
        <w:t>汽车电子是第二条需求主线。CASE 趋势（Connected、Autonomous、Shared/Service、Electric）推动汽车从机械系统转向复杂电子电气架构；连接、自动驾驶、共享运营和电动化四个方向都会提升 MLCC 数量或等级要求。</w:t>
      </w:r>
    </w:p>
    <w:p>
      <w:pPr>
        <w:spacing w:after="80"/>
        <w:ind w:left="173" w:hanging="173"/>
      </w:pPr>
      <w:r>
        <w:rPr>
          <w:rFonts w:ascii="Arial" w:hAnsi="Arial" w:eastAsia="Noto Sans CJK SC"/>
          <w:b/>
          <w:color w:val="1F4E79"/>
        </w:rPr>
        <w:t xml:space="preserve">7. </w:t>
      </w:r>
      <w:r>
        <w:rPr>
          <w:rFonts w:ascii="Arial" w:hAnsi="Arial" w:eastAsia="Noto Sans CJK SC"/>
        </w:rPr>
        <w:t>车载 MLCC 既要承受温度、电压、机械应力等更严苛环境，又要满足小型化和高电容。传统车辆已具备较大 MLCC 使用基础，ADAS、智能座舱、域控制器、电驱、电池管理、OBC/DC-DC 等模块叠加后，部分纯电及高阶智能化车型单车 MLCC 用量可超过万颗。</w:t>
      </w:r>
    </w:p>
    <w:p>
      <w:pPr>
        <w:spacing w:after="80"/>
        <w:ind w:left="173" w:hanging="173"/>
      </w:pPr>
      <w:r>
        <w:rPr>
          <w:rFonts w:ascii="Arial" w:hAnsi="Arial" w:eastAsia="Noto Sans CJK SC"/>
          <w:b/>
          <w:color w:val="1F4E79"/>
        </w:rPr>
        <w:t xml:space="preserve">8. </w:t>
      </w:r>
      <w:r>
        <w:rPr>
          <w:rFonts w:ascii="Arial" w:hAnsi="Arial" w:eastAsia="Noto Sans CJK SC"/>
        </w:rPr>
        <w:t>供给端的核心矛盾是“高端紧、低端松”。通用标准品产能利用率和库存处于相对宽松状态，高端服务器/车规相关产线稼动率较高、交期拉长，AI订单还会挤压部分消费电子中高容料号，导致价格从高端向部分中端扩散。</w:t>
      </w:r>
    </w:p>
    <w:p>
      <w:pPr>
        <w:spacing w:after="80"/>
        <w:ind w:left="173" w:hanging="173"/>
      </w:pPr>
      <w:r>
        <w:rPr>
          <w:rFonts w:ascii="Arial" w:hAnsi="Arial" w:eastAsia="Noto Sans CJK SC"/>
          <w:b/>
          <w:color w:val="1F4E79"/>
        </w:rPr>
        <w:t xml:space="preserve">9. </w:t>
      </w:r>
      <w:r>
        <w:rPr>
          <w:rFonts w:ascii="Arial" w:hAnsi="Arial" w:eastAsia="Noto Sans CJK SC"/>
        </w:rPr>
        <w:t>高端 MLCC 扩产弹性有限。龙头厂商经历上一轮上行与去库存后，对新建产线相对谨慎，更倾向于消除瓶颈而非激进扩产；新增陶瓷介质产线从建设到释放通常需要较长周期，原文口径约18-24个月，短期内难以快速缓解供需。</w:t>
      </w:r>
    </w:p>
    <w:p>
      <w:pPr>
        <w:spacing w:after="80"/>
        <w:ind w:left="173" w:hanging="173"/>
      </w:pPr>
      <w:r>
        <w:rPr>
          <w:rFonts w:ascii="Arial" w:hAnsi="Arial" w:eastAsia="Noto Sans CJK SC"/>
          <w:b/>
          <w:color w:val="1F4E79"/>
        </w:rPr>
        <w:t xml:space="preserve">10. </w:t>
      </w:r>
      <w:r>
        <w:rPr>
          <w:rFonts w:ascii="Arial" w:hAnsi="Arial" w:eastAsia="Noto Sans CJK SC"/>
        </w:rPr>
        <w:t>竞争格局仍由日韩台厂商主导。村田、三星电机、太阳诱电、TDK、国巨、华新科等在高端产品、车规认证、材料与工艺积累上领先；大陆厂商在中低端和部分材料环节已有基础，但高端陶瓷粉体、高容小型化、车规可靠性等方面仍存在追赶空间。</w:t>
      </w:r>
    </w:p>
    <w:p>
      <w:pPr>
        <w:spacing w:after="80"/>
        <w:ind w:left="173" w:hanging="173"/>
      </w:pPr>
      <w:r>
        <w:rPr>
          <w:rFonts w:ascii="Arial" w:hAnsi="Arial" w:eastAsia="Noto Sans CJK SC"/>
          <w:b/>
          <w:color w:val="1F4E79"/>
        </w:rPr>
        <w:t xml:space="preserve">11. </w:t>
      </w:r>
      <w:r>
        <w:rPr>
          <w:rFonts w:ascii="Arial" w:hAnsi="Arial" w:eastAsia="Noto Sans CJK SC"/>
        </w:rPr>
        <w:t>上游材料中，陶瓷粉体是高端 MLCC 的关键成本与技术壁垒，主要包括钛酸钡基础粉、配方粉及相关改性材料；内外电极材料涉及镍、铜、银、钯等金属。原材料价格上行可为 MLCC 价格形成成本支撑，但本轮涨价的主因仍是高端供需缺口。</w:t>
      </w:r>
    </w:p>
    <w:p>
      <w:pPr>
        <w:spacing w:after="80"/>
        <w:ind w:left="173" w:hanging="173"/>
      </w:pPr>
      <w:r>
        <w:rPr>
          <w:rFonts w:ascii="Arial" w:hAnsi="Arial" w:eastAsia="Noto Sans CJK SC"/>
          <w:b/>
          <w:color w:val="1F4E79"/>
        </w:rPr>
        <w:t xml:space="preserve">12. </w:t>
      </w:r>
      <w:r>
        <w:rPr>
          <w:rFonts w:ascii="Arial" w:hAnsi="Arial" w:eastAsia="Noto Sans CJK SC"/>
        </w:rPr>
        <w:t>跟踪上应把“量价弹性”与“技术壁垒”分开看：短期关注高容服务器/车规料号价格、交期、稼动率和库存；中期关注高端粉体、薄层化、层压/烧结、车规认证和客户导入；长期关注 AI算力平台迭代、800V/高阶智驾、国产替代进度及龙头扩产节奏。</w:t>
      </w:r>
    </w:p>
    <w:p>
      <w:pPr>
        <w:pStyle w:val="Heading1"/>
      </w:pPr>
      <w:r>
        <w:rPr>
          <w:rFonts w:ascii="Arial" w:hAnsi="Arial" w:eastAsia="Noto Sans CJK SC"/>
        </w:rPr>
        <w:t>三、产品与产业链路径</w:t>
      </w:r>
    </w:p>
    <w:p>
      <w:pPr>
        <w:pStyle w:val="Heading2"/>
      </w:pPr>
      <w:r>
        <w:rPr>
          <w:rFonts w:ascii="Arial" w:hAnsi="Arial" w:eastAsia="Noto Sans CJK SC"/>
        </w:rPr>
        <w:t>3.1 MLCC 的产品属性：小型化、高频、低损耗与高可靠</w:t>
      </w:r>
    </w:p>
    <w:p>
      <w:pPr/>
      <w:r>
        <w:rPr>
          <w:rFonts w:ascii="Arial" w:hAnsi="Arial" w:eastAsia="Noto Sans CJK SC"/>
        </w:rPr>
        <w:t>MLCC（片式多层陶瓷电容器）通过多层陶瓷介质和金属电极交替叠层，在有限体积内实现较高电容量。相同电容量下，MLCC 体积更小，更适合电子设备小型化；ESR 较低，损耗小；陶瓷介质经过高温烧制，结构致密，额定电压覆盖范围更宽；高频特性好，适用于高频、超高频电路中的滤波、去耦、旁路、平滑等场景。</w:t>
      </w:r>
    </w:p>
    <w:p>
      <w:pPr/>
      <w:r>
        <w:rPr>
          <w:rFonts w:ascii="Arial" w:hAnsi="Arial" w:eastAsia="Noto Sans CJK SC"/>
        </w:rPr>
        <w:t>按介质特性，MLCC 通常可分为一类与二类：一类 MLCC 以低介电常数陶瓷为主，温度稳定性、耐高温和高频性能更好，但容量相对较低；二类 MLCC 容量更大、应用更广，但电容量会随温度、电压等条件发生非线性变化，损耗也相对更高。未来产品演进方向集中在高稳定性、大容量、小型化、耐高温、高可靠、低 ESR/低 ESL。</w:t>
      </w:r>
    </w:p>
    <w:p>
      <w:pPr>
        <w:pStyle w:val="Heading2"/>
      </w:pPr>
      <w:r>
        <w:rPr>
          <w:rFonts w:ascii="Arial" w:hAnsi="Arial" w:eastAsia="Noto Sans CJK SC"/>
        </w:rPr>
        <w:t>3.2 产业链：从粉体和电极材料，到终端 AI 与汽车电子</w:t>
      </w:r>
    </w:p>
    <w:p>
      <w:pPr/>
      <w:r>
        <w:rPr>
          <w:rFonts w:ascii="Arial" w:hAnsi="Arial" w:eastAsia="Noto Sans CJK SC"/>
        </w:rPr>
        <w:t>产业链上游包括陶瓷粉体、配方粉、内外电极材料、离型膜/薄膜材料及制造设备。陶瓷粉体主要围绕钛酸钡基础粉、MLCC 配方粉及改性添加剂展开，兼具纳米材料、稀土材料和精密陶瓷工艺属性；电极材料包括镍、铜、银、钯等金属，分别对应内电极和外电极体系。</w:t>
      </w:r>
    </w:p>
    <w:p>
      <w:pPr/>
      <w:r>
        <w:rPr>
          <w:rFonts w:ascii="Arial" w:hAnsi="Arial" w:eastAsia="Noto Sans CJK SC"/>
        </w:rPr>
        <w:t>中游制造环节包括配料、流延/成膜、印刷、叠层、切割、烧结、倒角、电镀、测试和包装等。高端 MLCC 的壁垒并不只在设备，而在粉体粒径与分散、介质薄层化、层压均匀性、共烧稳定性、良率控制和可靠性验证。下游应用覆盖消费电子、通信、AI基础设施、服务器、汽车电子、工业控制等；终端电子产品需求变化会直接影响 MLCC 的数量、规格和价格。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1584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8"/>
              </w:rPr>
              <w:t>环节</w:t>
            </w:r>
          </w:p>
        </w:tc>
        <w:tc>
          <w:tcPr>
            <w:tcW w:type="dxa" w:w="4032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8"/>
              </w:rPr>
              <w:t>主要内容</w:t>
            </w:r>
          </w:p>
        </w:tc>
        <w:tc>
          <w:tcPr>
            <w:tcW w:type="dxa" w:w="4464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8"/>
              </w:rPr>
              <w:t>投研观察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8"/>
              </w:rPr>
              <w:t>上游材料</w:t>
            </w:r>
          </w:p>
        </w:tc>
        <w:tc>
          <w:tcPr>
            <w:tcW w:type="dxa" w:w="403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8"/>
              </w:rPr>
              <w:t>陶瓷粉体、钛酸钡基础粉、配方粉、镍/铜/银/钯等电极金属、离型膜、设备</w:t>
            </w:r>
          </w:p>
        </w:tc>
        <w:tc>
          <w:tcPr>
            <w:tcW w:type="dxa" w:w="446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8"/>
              </w:rPr>
              <w:t>决定介电性能、薄层化能力、良率、可靠性和成本结构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8"/>
              </w:rPr>
              <w:t>中游制造</w:t>
            </w:r>
          </w:p>
        </w:tc>
        <w:tc>
          <w:tcPr>
            <w:tcW w:type="dxa" w:w="403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8"/>
              </w:rPr>
              <w:t>配料、流延成膜、印刷、叠层、切割、烧结、倒角、电镀、测试、包装</w:t>
            </w:r>
          </w:p>
        </w:tc>
        <w:tc>
          <w:tcPr>
            <w:tcW w:type="dxa" w:w="446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8"/>
              </w:rPr>
              <w:t>高容小型化与车规产品对层压、烧结、粒径和分散均匀性要求更高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8"/>
              </w:rPr>
              <w:t>下游应用</w:t>
            </w:r>
          </w:p>
        </w:tc>
        <w:tc>
          <w:tcPr>
            <w:tcW w:type="dxa" w:w="403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8"/>
              </w:rPr>
              <w:t>消费电子、通信、AI服务器/数据中心、汽车电子、工业电子</w:t>
            </w:r>
          </w:p>
        </w:tc>
        <w:tc>
          <w:tcPr>
            <w:tcW w:type="dxa" w:w="446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8"/>
              </w:rPr>
              <w:t>AI与汽车电子推动高容、高频、高可靠、低ESL/低ESR产品占比提升</w:t>
            </w:r>
          </w:p>
        </w:tc>
      </w:tr>
    </w:tbl>
    <w:p>
      <w:pPr>
        <w:spacing w:after="40"/>
      </w:pPr>
    </w:p>
    <w:p>
      <w:pPr>
        <w:pStyle w:val="Heading1"/>
      </w:pPr>
      <w:r>
        <w:rPr>
          <w:rFonts w:ascii="Arial" w:hAnsi="Arial" w:eastAsia="Noto Sans CJK SC"/>
        </w:rPr>
        <w:t>四、需求端：本轮涨价为何不同</w:t>
      </w:r>
    </w:p>
    <w:p>
      <w:pPr>
        <w:pStyle w:val="Heading2"/>
      </w:pPr>
      <w:r>
        <w:rPr>
          <w:rFonts w:ascii="Arial" w:hAnsi="Arial" w:eastAsia="Noto Sans CJK SC"/>
        </w:rPr>
        <w:t>4.1 三轮涨价周期复盘</w:t>
      </w:r>
    </w:p>
    <w:p>
      <w:pPr/>
      <w:r>
        <w:rPr>
          <w:rFonts w:ascii="Arial" w:hAnsi="Arial" w:eastAsia="Noto Sans CJK SC"/>
        </w:rPr>
        <w:t>近十年 MLCC 至少经历三轮较明显的涨价周期：2017-2018年、2020-2021年以及2026年。本轮与前两轮最大的不同，是高端品类结构性紧缺，而非所有品类无差别涨价。消费电子通用料号仍相对平稳，高容服务器、车规和部分被转产挤压的中端料号更具价格弹性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1584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7"/>
              </w:rPr>
              <w:t>周期</w:t>
            </w:r>
          </w:p>
        </w:tc>
        <w:tc>
          <w:tcPr>
            <w:tcW w:type="dxa" w:w="3456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7"/>
              </w:rPr>
              <w:t>主要触发因素</w:t>
            </w:r>
          </w:p>
        </w:tc>
        <w:tc>
          <w:tcPr>
            <w:tcW w:type="dxa" w:w="2880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7"/>
              </w:rPr>
              <w:t>涨价范围</w:t>
            </w:r>
          </w:p>
        </w:tc>
        <w:tc>
          <w:tcPr>
            <w:tcW w:type="dxa" w:w="2592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7"/>
              </w:rPr>
              <w:t>核心差异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2017-2018年</w:t>
            </w:r>
          </w:p>
        </w:tc>
        <w:tc>
          <w:tcPr>
            <w:tcW w:type="dxa" w:w="3456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日系厂商缩减中低端/部分产能，消费电子需求上行，渠道囤货放大缺口</w:t>
            </w:r>
          </w:p>
        </w:tc>
        <w:tc>
          <w:tcPr>
            <w:tcW w:type="dxa" w:w="288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全品类缺货，涨价范围广，投机与库存因素较强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价格弹性来自供需错配和渠道库存博弈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2020-2021年</w:t>
            </w:r>
          </w:p>
        </w:tc>
        <w:tc>
          <w:tcPr>
            <w:tcW w:type="dxa" w:w="3456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疫情造成工厂停工和物流受阻，宅经济拉动笔电/平板，新能源车与5G需求上升</w:t>
            </w:r>
          </w:p>
        </w:tc>
        <w:tc>
          <w:tcPr>
            <w:tcW w:type="dxa" w:w="288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涨价相对温和，更多集中在车规与高容产品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供给扰动叠加新需求，结构性失衡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2026年</w:t>
            </w:r>
          </w:p>
        </w:tc>
        <w:tc>
          <w:tcPr>
            <w:tcW w:type="dxa" w:w="3456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AI算力基础设施扩张、汽车电子化和高端产能瓶颈共同驱动</w:t>
            </w:r>
          </w:p>
        </w:tc>
        <w:tc>
          <w:tcPr>
            <w:tcW w:type="dxa" w:w="288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高端涨价明显，中低端/民用通用产品相对平稳或小幅跟涨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盈利逻辑从库存投机转向绑定高端供应与技术壁垒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Arial" w:hAnsi="Arial" w:eastAsia="Noto Sans CJK SC"/>
        </w:rPr>
        <w:t>4.2 AI服务器：从算力扩张传导至高容 MLCC 紧缺</w:t>
      </w:r>
    </w:p>
    <w:p>
      <w:pPr/>
      <w:r>
        <w:rPr>
          <w:rFonts w:ascii="Arial" w:hAnsi="Arial" w:eastAsia="Noto Sans CJK SC"/>
        </w:rPr>
        <w:t>AI需求的拉动首先来自算力基础设施。企业级 AI 应用渗透率上升，训练和推理服务推动云厂商扩建数据中心、替换通用服务器，并持续提升电力消耗和板级功率密度。与传统服务器相比，AI服务器的 GPU/加速卡、HBM、电源管理和高速互连更复杂，瞬态电流更高，需要更多去耦和平滑电容。</w:t>
      </w:r>
    </w:p>
    <w:p>
      <w:pPr/>
      <w:r>
        <w:rPr>
          <w:rFonts w:ascii="Arial" w:hAnsi="Arial" w:eastAsia="Noto Sans CJK SC"/>
        </w:rPr>
        <w:t>原文口径显示，AI服务器功耗约为普通通用服务器的7倍，MLCC 用量约为普通服务器的13倍，所需总电容约为普通服务器的27倍。公开资料亦显示，单台传统服务器通常约使用2,000-3,000颗 MLCC，而单台 AI服务器可高达约28,000颗，接近13倍。该倍数应理解为不同平台/配置的区间对比，具体 BOM 取决于 GPU数量、供电架构、板级布局和电容规格。</w:t>
      </w:r>
    </w:p>
    <w:p>
      <w:pPr/>
      <w:r>
        <w:rPr>
          <w:rFonts w:ascii="Arial" w:hAnsi="Arial" w:eastAsia="Noto Sans CJK SC"/>
        </w:rPr>
        <w:t>AI服务器真正改变的是产品结构：高电容密度、小型封装、低 ESL/低 ESR、耐温和可靠性同步成为门槛。更高功耗意味着总电容提升；更高总电容又挤占 PCB 空间；单位体积更高电容密度带来热量聚集和散热压力。因此，高端 MLCC 并非简单扩产即可替代，供给瓶颈会体现在高容料号的良率、层压/烧结均匀性和陶瓷粉体质量上。</w:t>
      </w:r>
    </w:p>
    <w:p>
      <w:pPr>
        <w:pStyle w:val="Heading2"/>
      </w:pPr>
      <w:r>
        <w:rPr>
          <w:rFonts w:ascii="Arial" w:hAnsi="Arial" w:eastAsia="Noto Sans CJK SC"/>
        </w:rPr>
        <w:t>4.3 汽车电子：CASE 趋势扩大数量并抬升等级</w:t>
      </w:r>
    </w:p>
    <w:p>
      <w:pPr/>
      <w:r>
        <w:rPr>
          <w:rFonts w:ascii="Arial" w:hAnsi="Arial" w:eastAsia="Noto Sans CJK SC"/>
        </w:rPr>
        <w:t>汽车电子化的主线可概括为 CASE：Connected（互联）、Autonomous（自动驾驶）、Shared/Service（共享与服务）、Electric（电动化）。四个方向的共同点是以电子电气架构为底座，汽车从机械系统逐步转向“移动计算平台”，电路、传感器、控制器、功率器件和通信模块数量提升，MLCC 成为保障车载电路稳定运行的基础器件。</w:t>
      </w:r>
    </w:p>
    <w:p>
      <w:pPr/>
      <w:r>
        <w:rPr>
          <w:rFonts w:ascii="Arial" w:hAnsi="Arial" w:eastAsia="Noto Sans CJK SC"/>
        </w:rPr>
        <w:t>互联方向需要 5G/车载天线、车路协同和 ITS 智能交通系统，对高频 MLCC 和通信链路稳定性提出要求；自动驾驶方向需要更多摄像头、雷达、域控制器和冗余电源电路，带来高功耗、高容量、低 ESL 需求；共享/服务方向提高车辆运行时长，强化可靠性要求；电动化方向涉及电池、电驱、OBC、DC-DC、BMS和快充，高电压与高可靠 MLCC 的重要性提升。</w:t>
      </w:r>
    </w:p>
    <w:p>
      <w:pPr/>
      <w:r>
        <w:rPr>
          <w:rFonts w:ascii="Arial" w:hAnsi="Arial" w:eastAsia="Noto Sans CJK SC"/>
        </w:rPr>
        <w:t>公开资料与原文口径基本一致：当前车辆平均使用约3,000-5,000颗 MLCC；随着电动化、ADAS/AD和高级座舱普及，部分纯电及高阶智能化车型用量可超过万颗。2025年中国电动汽车销量超过1,300万辆、约占全球六成，新车销售中电动汽车占比接近55%，汽车电子链条对高可靠 MLCC 的需求仍具长期支撑。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1728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7"/>
              </w:rPr>
              <w:t>场景</w:t>
            </w:r>
          </w:p>
        </w:tc>
        <w:tc>
          <w:tcPr>
            <w:tcW w:type="dxa" w:w="2880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7"/>
              </w:rPr>
              <w:t>需求来源</w:t>
            </w:r>
          </w:p>
        </w:tc>
        <w:tc>
          <w:tcPr>
            <w:tcW w:type="dxa" w:w="3024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7"/>
              </w:rPr>
              <w:t>关键 MLCC 要求</w:t>
            </w:r>
          </w:p>
        </w:tc>
        <w:tc>
          <w:tcPr>
            <w:tcW w:type="dxa" w:w="2592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7"/>
              </w:rPr>
              <w:t>影响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AI服务器</w:t>
            </w:r>
          </w:p>
        </w:tc>
        <w:tc>
          <w:tcPr>
            <w:tcW w:type="dxa" w:w="288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高功耗 GPU/加速卡、HBM、高速互连、电源完整性</w:t>
            </w:r>
          </w:p>
        </w:tc>
        <w:tc>
          <w:tcPr>
            <w:tcW w:type="dxa" w:w="302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高容、小型、低ESR/低ESL、耐温、散热友好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直接占用高端高容产能，是本轮涨价核心驱动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ADAS/自动驾驶</w:t>
            </w:r>
          </w:p>
        </w:tc>
        <w:tc>
          <w:tcPr>
            <w:tcW w:type="dxa" w:w="288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传感器、域控制器、冗余电源、高速处理器</w:t>
            </w:r>
          </w:p>
        </w:tc>
        <w:tc>
          <w:tcPr>
            <w:tcW w:type="dxa" w:w="302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高可靠、小型高容、低ESL、车规认证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推动车规高端产品需求升级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电动化/快充</w:t>
            </w:r>
          </w:p>
        </w:tc>
        <w:tc>
          <w:tcPr>
            <w:tcW w:type="dxa" w:w="288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BMS、电驱、OBC、DC-DC、高压平台</w:t>
            </w:r>
          </w:p>
        </w:tc>
        <w:tc>
          <w:tcPr>
            <w:tcW w:type="dxa" w:w="302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高耐压、高可靠、抗机械应力、温度稳定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高电压架构提升材料与封装要求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通信/互联</w:t>
            </w:r>
          </w:p>
        </w:tc>
        <w:tc>
          <w:tcPr>
            <w:tcW w:type="dxa" w:w="288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5G车载天线、ITS、车联网、高速接口</w:t>
            </w:r>
          </w:p>
        </w:tc>
        <w:tc>
          <w:tcPr>
            <w:tcW w:type="dxa" w:w="302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高频、低损耗、小型化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与消费电子、通信设备高频器件需求存在交叉</w:t>
            </w:r>
          </w:p>
        </w:tc>
      </w:tr>
    </w:tbl>
    <w:p>
      <w:pPr>
        <w:spacing w:after="40"/>
      </w:pPr>
    </w:p>
    <w:p>
      <w:pPr>
        <w:pStyle w:val="Heading1"/>
      </w:pPr>
      <w:r>
        <w:rPr>
          <w:rFonts w:ascii="Arial" w:hAnsi="Arial" w:eastAsia="Noto Sans CJK SC"/>
        </w:rPr>
        <w:t>五、供给端：高端产能紧张与扩产刚性</w:t>
      </w:r>
    </w:p>
    <w:p>
      <w:pPr/>
      <w:r>
        <w:rPr>
          <w:rFonts w:ascii="Arial" w:hAnsi="Arial" w:eastAsia="Noto Sans CJK SC"/>
        </w:rPr>
        <w:t>供给端呈现明显分化：高端服务器/车规产品偏紧，标准化、通用消费类产品较宽松。原文口径显示，普通产能利用率大致稳定在60%-70%，库存约60-70天；高端 MLCC 产线稼动率普遍较高，部分龙头高端产线接近满负荷，交期延长至20周以上。AI订单还会挤压部分中高容消费料号的生产资源，使消费电子产品价格也出现小幅跟涨。</w:t>
      </w:r>
    </w:p>
    <w:p>
      <w:pPr/>
      <w:r>
        <w:rPr>
          <w:rFonts w:ascii="Arial" w:hAnsi="Arial" w:eastAsia="Noto Sans CJK SC"/>
        </w:rPr>
        <w:t>扩产不是短期变量。上一轮价格上行与去库存后，主要制造商对大规模新建产能更谨慎，倾向于先消除瓶颈、优化现有产线，而不是在周期高位激进投放。新增陶瓷介质产线从建设到稳定释放通常需要18-24个月，且高容产品良率爬坡难度高，因此即使产能规划启动，对2026年内供给缓解也难以立竿见影。</w:t>
      </w:r>
    </w:p>
    <w:p>
      <w:pPr/>
      <w:r>
        <w:rPr>
          <w:rFonts w:ascii="Arial" w:hAnsi="Arial" w:eastAsia="Noto Sans CJK SC"/>
        </w:rPr>
        <w:t>竞争格局方面，MLCC 市场集中度较高，日韩台厂商主导高端供给。村田、三星电机、太阳诱电、TDK、国巨、华新科等具备规模、工艺、客户认证和材料体系优势。大陆厂商近年来在中低端 MLCC 和部分车规、高容产品上持续推进国产替代，但在高端粉体、介质薄层化、车规可靠性和大客户认证方面仍有差距。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2160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7"/>
              </w:rPr>
              <w:t>供给环节</w:t>
            </w:r>
          </w:p>
        </w:tc>
        <w:tc>
          <w:tcPr>
            <w:tcW w:type="dxa" w:w="2592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7"/>
              </w:rPr>
              <w:t>当前状态</w:t>
            </w:r>
          </w:p>
        </w:tc>
        <w:tc>
          <w:tcPr>
            <w:tcW w:type="dxa" w:w="2880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7"/>
              </w:rPr>
              <w:t>约束因素</w:t>
            </w:r>
          </w:p>
        </w:tc>
        <w:tc>
          <w:tcPr>
            <w:tcW w:type="dxa" w:w="2592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7"/>
              </w:rPr>
              <w:t>跟踪指标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高端服务器/车规 MLCC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稼动率高、交期拉长、价格弹性强</w:t>
            </w:r>
          </w:p>
        </w:tc>
        <w:tc>
          <w:tcPr>
            <w:tcW w:type="dxa" w:w="288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AI服务器和汽车电子共振；良率与粉体约束放大缺口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跟踪原厂报价、代理库存、交期和新平台 BOM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通用/标准消费 MLCC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相对宽松，价格上涨幅度低于高端品</w:t>
            </w:r>
          </w:p>
        </w:tc>
        <w:tc>
          <w:tcPr>
            <w:tcW w:type="dxa" w:w="288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消费电子复苏不强，部分料号受转产挤压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关注是否由高端紧缺向中端扩散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新增产能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投产周期长，原文口径18-24个月</w:t>
            </w:r>
          </w:p>
        </w:tc>
        <w:tc>
          <w:tcPr>
            <w:tcW w:type="dxa" w:w="288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龙头扩产谨慎，良率爬坡慢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价格周期可能拉长，但需警惕超预期扩产</w:t>
            </w:r>
          </w:p>
        </w:tc>
      </w:tr>
    </w:tbl>
    <w:p>
      <w:pPr>
        <w:spacing w:after="40"/>
      </w:pPr>
    </w:p>
    <w:p>
      <w:pPr>
        <w:pStyle w:val="Heading1"/>
      </w:pPr>
      <w:r>
        <w:rPr>
          <w:rFonts w:ascii="Arial" w:hAnsi="Arial" w:eastAsia="Noto Sans CJK SC"/>
        </w:rPr>
        <w:t>六、上游材料：陶瓷粉体是高端化的关键瓶颈</w:t>
      </w:r>
    </w:p>
    <w:p>
      <w:pPr/>
      <w:r>
        <w:rPr>
          <w:rFonts w:ascii="Arial" w:hAnsi="Arial" w:eastAsia="Noto Sans CJK SC"/>
        </w:rPr>
        <w:t>高端 MLCC 的成本和性能高度依赖陶瓷粉体。低容产品中，原文关于陶瓷粉体成本占比的转写存在明显数字噪声，无法可靠还原具体比例；但方向上，高容量、小型化、高可靠 MLCC 对粉体质量、粒径、分散、配方和介质薄层化要求更高，陶瓷粉体在高端产品中的重要性更强。</w:t>
      </w:r>
    </w:p>
    <w:p>
      <w:pPr/>
      <w:r>
        <w:rPr>
          <w:rFonts w:ascii="Arial" w:hAnsi="Arial" w:eastAsia="Noto Sans CJK SC"/>
        </w:rPr>
        <w:t>MLCC 陶瓷粉体主要包括钛酸钡基础粉、配方粉及相关改性材料。钛酸钡通常可由碳酸钡与二氧化钛制备，锆酸钡可由碳酸钡与氧化锆制备；重晶石是碳酸钡链条的重要上游，钛白粉对应二氧化钛，锆英砂可作为氧化锆链条参考，金红石也与二氧化钛资源相关。这些原材料价格变化可作为陶瓷粉体成本压力的观察变量。</w:t>
      </w:r>
    </w:p>
    <w:p>
      <w:pPr/>
      <w:r>
        <w:rPr>
          <w:rFonts w:ascii="Arial" w:hAnsi="Arial" w:eastAsia="Noto Sans CJK SC"/>
        </w:rPr>
        <w:t>电极材料是另一项重要成本。内电极主要涉及镍、银、钯等金属体系，外电极主要涉及铜、银等；镍、铜、银、钯现货价格可作为电极材料成本变化的跟踪指标。原文提到，镍、铜价格整体有所上涨，白银和钯金在2025年出现明显上行后有所回调，但整体仍高于此前周期低位。成本端会支撑价格，但本轮高端 MLCC 价格的主要支撑仍来自供不应求。</w:t>
      </w:r>
    </w:p>
    <w:p>
      <w:pPr/>
      <w:r>
        <w:rPr>
          <w:rFonts w:ascii="Arial" w:hAnsi="Arial" w:eastAsia="Noto Sans CJK SC"/>
        </w:rPr>
        <w:t>国产替代方面，国内厂商可满足部分中低端 MLCC 粉体需求，但高端特殊粉料仍依赖进口。全球陶瓷粉体工艺由日本、美国厂商主导，原文中的“日本气化学/美国 federal/中国瓷材料”结合行业语境修复为“日本堺化学、美国 Ferro、国瓷材料”。其中，国瓷材料在钛酸钡/配方粉领域具备国内优势，但与全球头部仍有差距。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1872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7"/>
              </w:rPr>
              <w:t>材料/环节</w:t>
            </w:r>
          </w:p>
        </w:tc>
        <w:tc>
          <w:tcPr>
            <w:tcW w:type="dxa" w:w="3168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7"/>
              </w:rPr>
              <w:t>主要内容</w:t>
            </w:r>
          </w:p>
        </w:tc>
        <w:tc>
          <w:tcPr>
            <w:tcW w:type="dxa" w:w="2592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7"/>
              </w:rPr>
              <w:t>影响路径</w:t>
            </w:r>
          </w:p>
        </w:tc>
        <w:tc>
          <w:tcPr>
            <w:tcW w:type="dxa" w:w="2592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7"/>
              </w:rPr>
              <w:t>跟踪要点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陶瓷介质粉体</w:t>
            </w:r>
          </w:p>
        </w:tc>
        <w:tc>
          <w:tcPr>
            <w:tcW w:type="dxa" w:w="316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钛酸钡基础粉、MLCC配方粉、改性添加剂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介电常数、温度稳定性、薄层化、良率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高端粉体仍是国产替代难点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粉体上游</w:t>
            </w:r>
          </w:p>
        </w:tc>
        <w:tc>
          <w:tcPr>
            <w:tcW w:type="dxa" w:w="316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碳酸钡、二氧化钛、氧化锆；重晶石、钛白粉、锆英砂、金红石等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陶瓷粉体成本变化参考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价格上行可提供成本支撑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内电极</w:t>
            </w:r>
          </w:p>
        </w:tc>
        <w:tc>
          <w:tcPr>
            <w:tcW w:type="dxa" w:w="316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镍、银、钯等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导电性、共烧匹配、可靠性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镍粉粒径、纯度和配方是高端壁垒之一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外电极</w:t>
            </w:r>
          </w:p>
        </w:tc>
        <w:tc>
          <w:tcPr>
            <w:tcW w:type="dxa" w:w="316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铜、银等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焊接、端接、机械可靠性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车规产品对端电极可靠性要求更高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离型膜/设备</w:t>
            </w:r>
          </w:p>
        </w:tc>
        <w:tc>
          <w:tcPr>
            <w:tcW w:type="dxa" w:w="316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薄膜、流延、印刷、叠层、烧结、电镀设备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影响薄层化和一致性</w:t>
            </w:r>
          </w:p>
        </w:tc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高端产线扩张需设备与工艺同步</w:t>
            </w:r>
          </w:p>
        </w:tc>
      </w:tr>
    </w:tbl>
    <w:p>
      <w:pPr>
        <w:spacing w:after="40"/>
      </w:pPr>
    </w:p>
    <w:p>
      <w:pPr>
        <w:pStyle w:val="Heading1"/>
      </w:pPr>
      <w:r>
        <w:rPr>
          <w:rFonts w:ascii="Arial" w:hAnsi="Arial" w:eastAsia="Noto Sans CJK SC"/>
        </w:rPr>
        <w:t>七、关键数据与口径表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2160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6"/>
              </w:rPr>
              <w:t>数据</w:t>
            </w:r>
          </w:p>
        </w:tc>
        <w:tc>
          <w:tcPr>
            <w:tcW w:type="dxa" w:w="3312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6"/>
              </w:rPr>
              <w:t>含义</w:t>
            </w:r>
          </w:p>
        </w:tc>
        <w:tc>
          <w:tcPr>
            <w:tcW w:type="dxa" w:w="2448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6"/>
              </w:rPr>
              <w:t>核验状态</w:t>
            </w:r>
          </w:p>
        </w:tc>
        <w:tc>
          <w:tcPr>
            <w:tcW w:type="dxa" w:w="2448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6"/>
              </w:rPr>
              <w:t>备注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2026年2月下旬</w:t>
            </w:r>
          </w:p>
        </w:tc>
        <w:tc>
          <w:tcPr>
            <w:tcW w:type="dxa" w:w="331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本轮 MLCC 现货价格启动上行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原文口径 / 公开报道可交叉验证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时点性强，需跟踪后续报价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15%-20%</w:t>
            </w:r>
          </w:p>
        </w:tc>
        <w:tc>
          <w:tcPr>
            <w:tcW w:type="dxa" w:w="331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普通现货/标准品普遍涨幅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原文口径 / 公开报道可交叉验证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不同料号差异较大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50%-60%</w:t>
            </w:r>
          </w:p>
        </w:tc>
        <w:tc>
          <w:tcPr>
            <w:tcW w:type="dxa" w:w="331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AI服务器用高容产品涨幅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原文口径 / 公开报道可交叉验证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稀缺型号涨幅可更高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5%-15%</w:t>
            </w:r>
          </w:p>
        </w:tc>
        <w:tc>
          <w:tcPr>
            <w:tcW w:type="dxa" w:w="331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消费类 MLCC 涨幅相对较低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原文口径 / 公开报道可交叉验证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更多体现结构性扩散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&gt;90%</w:t>
            </w:r>
          </w:p>
        </w:tc>
        <w:tc>
          <w:tcPr>
            <w:tcW w:type="dxa" w:w="331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高端产线稼动率/利用率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原文口径 / 公开报道可交叉验证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不同厂商口径不同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20周以上 / 约4个月</w:t>
            </w:r>
          </w:p>
        </w:tc>
        <w:tc>
          <w:tcPr>
            <w:tcW w:type="dxa" w:w="331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高端紧缺料号交期延长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原文口径 / 公开报道可交叉验证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交期是价格周期强弱的核心跟踪指标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18-24个月</w:t>
            </w:r>
          </w:p>
        </w:tc>
        <w:tc>
          <w:tcPr>
            <w:tcW w:type="dxa" w:w="331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新增陶瓷介质产线释放周期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原文口径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缺乏统一公开数据，作为汇报口径保留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2,000-3,000颗 vs 最高约28,000颗</w:t>
            </w:r>
          </w:p>
        </w:tc>
        <w:tc>
          <w:tcPr>
            <w:tcW w:type="dxa" w:w="331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传统服务器与 AI服务器单机 MLCC 用量对比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公开资料可交叉验证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取决于平台与配置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约13倍</w:t>
            </w:r>
          </w:p>
        </w:tc>
        <w:tc>
          <w:tcPr>
            <w:tcW w:type="dxa" w:w="331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AI服务器 MLCC 用量相对普通服务器倍数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原文口径 / 公开报道可交叉验证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原文另称总容量约27倍，作为会议口径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3,000-5,000颗/车</w:t>
            </w:r>
          </w:p>
        </w:tc>
        <w:tc>
          <w:tcPr>
            <w:tcW w:type="dxa" w:w="331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普通车辆平均 MLCC 使用量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公开资料可验证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车型配置差异较大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&gt;10,000颗/车</w:t>
            </w:r>
          </w:p>
        </w:tc>
        <w:tc>
          <w:tcPr>
            <w:tcW w:type="dxa" w:w="331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部分纯电及高阶智能化车型 MLCC 用量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原文口径 / 公开资料方向一致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需按具体车型 BOM 判断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&gt;1,300万辆、约全球六成、接近55%</w:t>
            </w:r>
          </w:p>
        </w:tc>
        <w:tc>
          <w:tcPr>
            <w:tcW w:type="dxa" w:w="331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2025年中国电动汽车销量及新车销售占比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IEA《Global EV Outlook 2026》可验证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电动车包括BEV与PHEV口径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前三大约66%、前六大约82%</w:t>
            </w:r>
          </w:p>
        </w:tc>
        <w:tc>
          <w:tcPr>
            <w:tcW w:type="dxa" w:w="331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全球 MLCC 市场集中度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原文口径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未逐项核验，建议后续以第三方报告为准</w:t>
            </w:r>
          </w:p>
        </w:tc>
      </w:tr>
    </w:tbl>
    <w:p>
      <w:pPr>
        <w:spacing w:after="40"/>
      </w:pPr>
    </w:p>
    <w:p>
      <w:pPr>
        <w:pStyle w:val="Heading1"/>
      </w:pPr>
      <w:r>
        <w:rPr>
          <w:rFonts w:ascii="Arial" w:hAnsi="Arial" w:eastAsia="Noto Sans CJK SC"/>
        </w:rPr>
        <w:t>八、产业链跟踪与投资观察</w:t>
      </w:r>
    </w:p>
    <w:p>
      <w:pPr/>
      <w:r>
        <w:rPr>
          <w:rFonts w:ascii="Arial" w:hAnsi="Arial" w:eastAsia="Noto Sans CJK SC"/>
        </w:rPr>
        <w:t>1）高端 MLCC 制造：优先跟踪能够稳定供应服务器高容和车规高可靠产品的厂商，包括村田、三星电机、太阳诱电、TDK、国巨、华新科等全球主流供应商，以及正在推进高容、车规产品和国产替代的大陆厂商。核心指标不是单纯产能规模，而是高端料号良率、客户认证、交期、ASP和产品结构。</w:t>
      </w:r>
    </w:p>
    <w:p>
      <w:pPr/>
      <w:r>
        <w:rPr>
          <w:rFonts w:ascii="Arial" w:hAnsi="Arial" w:eastAsia="Noto Sans CJK SC"/>
        </w:rPr>
        <w:t>2）陶瓷粉体与配方粉：高端粉体是本轮结构性景气能否传导至上游的关键。关注钛酸钡基础粉、配方粉、粒径控制、分散均匀性、车规适配和客户验证进度。原文涉及国瓷材料，并提到国内在中低端粉体具备供应能力，但高端特殊粉料仍存在进口依赖。</w:t>
      </w:r>
    </w:p>
    <w:p>
      <w:pPr/>
      <w:r>
        <w:rPr>
          <w:rFonts w:ascii="Arial" w:hAnsi="Arial" w:eastAsia="Noto Sans CJK SC"/>
        </w:rPr>
        <w:t>3）电极材料与金属粉体：镍粉、铜粉、银粉、钯等价格与供应关系会影响成本端；高端内电极粉体需要更高纯度、更细粒径和更稳定配方。若 AI服务器高容 MLCC 需求持续放大，内电极粉体也可能受益于产品结构升级。</w:t>
      </w:r>
    </w:p>
    <w:p>
      <w:pPr/>
      <w:r>
        <w:rPr>
          <w:rFonts w:ascii="Arial" w:hAnsi="Arial" w:eastAsia="Noto Sans CJK SC"/>
        </w:rPr>
        <w:t>4）价格周期验证框架：短期看现货价格、原厂调价、代理库存、交期和下游订单；中期看高端产线稼动率、良率改善和扩产计划；长期看 AI服务器平台迭代、汽车电动化/智能化渗透、800V快充与高阶 ADAS 需求。只有当交期缩短、库存累积、扩产释放或需求不及预期同时出现，涨价周期才可能出现明显拐点。</w:t>
      </w:r>
    </w:p>
    <w:p>
      <w:pPr>
        <w:pStyle w:val="Heading1"/>
      </w:pPr>
      <w:r>
        <w:rPr>
          <w:rFonts w:ascii="Arial" w:hAnsi="Arial" w:eastAsia="Noto Sans CJK SC"/>
        </w:rPr>
        <w:t>九、ASR 修复与联网核验说明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592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6"/>
              </w:rPr>
              <w:t>原文误识别</w:t>
            </w:r>
          </w:p>
        </w:tc>
        <w:tc>
          <w:tcPr>
            <w:tcW w:type="dxa" w:w="2448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6"/>
              </w:rPr>
              <w:t>修复/处理</w:t>
            </w:r>
          </w:p>
        </w:tc>
        <w:tc>
          <w:tcPr>
            <w:tcW w:type="dxa" w:w="5184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6"/>
              </w:rPr>
              <w:t>说明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LCC / LC / MCC / MRCC / NRC / LSC / ISC / ARCC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MLCC</w:t>
            </w:r>
          </w:p>
        </w:tc>
        <w:tc>
          <w:tcPr>
            <w:tcW w:type="dxa" w:w="51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原文多处同一术语误识别，按上下文统一修复为片式多层陶瓷电容器。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LCD 更好应用在高频超高频电路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MLCC 更好应用在高频/超高频电路</w:t>
            </w:r>
          </w:p>
        </w:tc>
        <w:tc>
          <w:tcPr>
            <w:tcW w:type="dxa" w:w="51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结合前后文为电容器高频特性说明，非显示面板 LCD。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高绒/高榕/高热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高容</w:t>
            </w:r>
          </w:p>
        </w:tc>
        <w:tc>
          <w:tcPr>
            <w:tcW w:type="dxa" w:w="51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均指高容量 MLCC。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EESR / 堤 ESL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低 ESR / 低 ESL</w:t>
            </w:r>
          </w:p>
        </w:tc>
        <w:tc>
          <w:tcPr>
            <w:tcW w:type="dxa" w:w="51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结合 MLCC 性能参数和上下文修复。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村田、太阳诱电、三星将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村田、太阳诱电、三星电机</w:t>
            </w:r>
          </w:p>
        </w:tc>
        <w:tc>
          <w:tcPr>
            <w:tcW w:type="dxa" w:w="51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公司名修复，均为全球主流 MLCC 厂商。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华华新科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华新科</w:t>
            </w:r>
          </w:p>
        </w:tc>
        <w:tc>
          <w:tcPr>
            <w:tcW w:type="dxa" w:w="51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结合台系厂商涨价语境修复。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国际华星科技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国巨、华新科（推定）</w:t>
            </w:r>
          </w:p>
        </w:tc>
        <w:tc>
          <w:tcPr>
            <w:tcW w:type="dxa" w:w="51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原文此处语音噪声较高，台系中低端竞争格局通常涉及国巨与华新科；正文仅按“台系厂商”概括。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中国瓷材料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国瓷材料</w:t>
            </w:r>
          </w:p>
        </w:tc>
        <w:tc>
          <w:tcPr>
            <w:tcW w:type="dxa" w:w="51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结合 MLCC 陶瓷粉体供应商语境修复。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日本气化学 / 美国 federal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日本堺化学 / 美国 Ferro</w:t>
            </w:r>
          </w:p>
        </w:tc>
        <w:tc>
          <w:tcPr>
            <w:tcW w:type="dxa" w:w="51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结合 MLCC 配方粉竞争格局语境修复；具体份额仍按原文口径保留。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碳酸碳酸被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碳酸钡</w:t>
            </w:r>
          </w:p>
        </w:tc>
        <w:tc>
          <w:tcPr>
            <w:tcW w:type="dxa" w:w="51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钛酸钡/锆酸钡等粉体原料语境。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告酸钡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锆酸钡（推定）</w:t>
            </w:r>
          </w:p>
        </w:tc>
        <w:tc>
          <w:tcPr>
            <w:tcW w:type="dxa" w:w="51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原文语音噪声较高，结合“碳酸钡+氧化锆制备”推定。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高金沙 / 天津石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锆英砂 / 金红石（推定）</w:t>
            </w:r>
          </w:p>
        </w:tc>
        <w:tc>
          <w:tcPr>
            <w:tcW w:type="dxa" w:w="51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结合氧化锆、二氧化钛上游资源语境修复，建议后续对原始图表复核。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ADS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ADAS</w:t>
            </w:r>
          </w:p>
        </w:tc>
        <w:tc>
          <w:tcPr>
            <w:tcW w:type="dxa" w:w="51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高级辅助驾驶系统。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LIM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LLM</w:t>
            </w:r>
          </w:p>
        </w:tc>
        <w:tc>
          <w:tcPr>
            <w:tcW w:type="dxa" w:w="51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AI模型训练/推理语境下修复为大语言模型。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微龙科技</w:t>
            </w:r>
          </w:p>
        </w:tc>
        <w:tc>
          <w:tcPr>
            <w:tcW w:type="dxa" w:w="244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微容科技/微容电子（待复核）</w:t>
            </w:r>
          </w:p>
        </w:tc>
        <w:tc>
          <w:tcPr>
            <w:tcW w:type="dxa" w:w="5184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原文主体不够清晰，正文未作为确定事实展开。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168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7"/>
              </w:rPr>
              <w:t>核验来源</w:t>
            </w:r>
          </w:p>
        </w:tc>
        <w:tc>
          <w:tcPr>
            <w:tcW w:type="dxa" w:w="6912"/>
            <w:shd w:fill="D9EAF7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/>
                <w:color w:val="1F4E79"/>
                <w:sz w:val="17"/>
              </w:rPr>
              <w:t>用于核验的内容</w:t>
            </w:r>
          </w:p>
        </w:tc>
      </w:tr>
      <w:tr>
        <w:tc>
          <w:tcPr>
            <w:tcW w:type="dxa" w:w="316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36氪出海 / 36Kr（2026-06-09）</w:t>
            </w:r>
          </w:p>
        </w:tc>
        <w:tc>
          <w:tcPr>
            <w:tcW w:type="dxa" w:w="691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核验 MLCC 2026年2月下旬以来现货涨价、高容 AI服务器型号涨幅、头部厂商调价、稼动率与交期方向。</w:t>
            </w:r>
          </w:p>
        </w:tc>
      </w:tr>
      <w:tr>
        <w:tc>
          <w:tcPr>
            <w:tcW w:type="dxa" w:w="316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Passive Components Europe（2026-06-15）</w:t>
            </w:r>
          </w:p>
        </w:tc>
        <w:tc>
          <w:tcPr>
            <w:tcW w:type="dxa" w:w="691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核验 AI服务器需求吸收高端 MLCC 产能、价格上行压力和高端产能紧张方向。</w:t>
            </w:r>
          </w:p>
        </w:tc>
      </w:tr>
      <w:tr>
        <w:tc>
          <w:tcPr>
            <w:tcW w:type="dxa" w:w="316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TrendForce（2026-02-24）</w:t>
            </w:r>
          </w:p>
        </w:tc>
        <w:tc>
          <w:tcPr>
            <w:tcW w:type="dxa" w:w="691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核验三星电机考虑自4月起调涨 MLCC 价格，需求由 AI 与电动车带动。</w:t>
            </w:r>
          </w:p>
        </w:tc>
      </w:tr>
      <w:tr>
        <w:tc>
          <w:tcPr>
            <w:tcW w:type="dxa" w:w="316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Murata 官方文章（2021/2026）</w:t>
            </w:r>
          </w:p>
        </w:tc>
        <w:tc>
          <w:tcPr>
            <w:tcW w:type="dxa" w:w="691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核验车载 MLCC 使用量约3,000-5,000颗/车、CASE趋势以及车规高容/小型化产品方向。</w:t>
            </w:r>
          </w:p>
        </w:tc>
      </w:tr>
      <w:tr>
        <w:tc>
          <w:tcPr>
            <w:tcW w:type="dxa" w:w="316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IEA Global EV Outlook 2026</w:t>
            </w:r>
          </w:p>
        </w:tc>
        <w:tc>
          <w:tcPr>
            <w:tcW w:type="dxa" w:w="691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核验2025年中国电动汽车销量超过1,300万辆、约占全球六成、销售占比接近55%。</w:t>
            </w:r>
          </w:p>
        </w:tc>
      </w:tr>
      <w:tr>
        <w:tc>
          <w:tcPr>
            <w:tcW w:type="dxa" w:w="3168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Sinocera/国瓷材料公开产品页及行业资料</w:t>
            </w:r>
          </w:p>
        </w:tc>
        <w:tc>
          <w:tcPr>
            <w:tcW w:type="dxa" w:w="6912"/>
            <w:vAlign w:val="top"/>
          </w:tcPr>
          <w:p>
            <w:pPr>
              <w:spacing w:after="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核验国瓷材料钛酸钡/MLCC介质材料相关业务与粉体用途。</w:t>
            </w:r>
          </w:p>
        </w:tc>
      </w:tr>
    </w:tbl>
    <w:p>
      <w:pPr>
        <w:spacing w:after="40"/>
      </w:pPr>
    </w:p>
    <w:p>
      <w:pPr>
        <w:pStyle w:val="Heading1"/>
      </w:pPr>
      <w:r>
        <w:rPr>
          <w:rFonts w:ascii="Arial" w:hAnsi="Arial" w:eastAsia="Noto Sans CJK SC"/>
        </w:rPr>
        <w:t>十、风险提示</w:t>
      </w:r>
    </w:p>
    <w:p>
      <w:pPr/>
      <w:r>
        <w:rPr>
          <w:rFonts w:ascii="Arial" w:hAnsi="Arial" w:eastAsia="Noto Sans CJK SC"/>
        </w:rPr>
        <w:t>• AI服务器需求或云厂商资本开支不及预期，导致高容 MLCC 订单回落。</w:t>
      </w:r>
    </w:p>
    <w:p>
      <w:pPr/>
      <w:r>
        <w:rPr>
          <w:rFonts w:ascii="Arial" w:hAnsi="Arial" w:eastAsia="Noto Sans CJK SC"/>
        </w:rPr>
        <w:t>• 头部厂商扩产、转产或良率提升超预期，提前缓解高端供需缺口。</w:t>
      </w:r>
    </w:p>
    <w:p>
      <w:pPr/>
      <w:r>
        <w:rPr>
          <w:rFonts w:ascii="Arial" w:hAnsi="Arial" w:eastAsia="Noto Sans CJK SC"/>
        </w:rPr>
        <w:t>• 消费电子需求持续疲弱，通用料号价格承压，并拖累渠道备货意愿。</w:t>
      </w:r>
    </w:p>
    <w:p>
      <w:pPr/>
      <w:r>
        <w:rPr>
          <w:rFonts w:ascii="Arial" w:hAnsi="Arial" w:eastAsia="Noto Sans CJK SC"/>
        </w:rPr>
        <w:t>• 新能源汽车、ADAS/智能座舱渗透不及预期，车规 MLCC 需求增长放缓。</w:t>
      </w:r>
    </w:p>
    <w:p>
      <w:pPr/>
      <w:r>
        <w:rPr>
          <w:rFonts w:ascii="Arial" w:hAnsi="Arial" w:eastAsia="Noto Sans CJK SC"/>
        </w:rPr>
        <w:t>• 镍、铜、银、钯、碳酸钡、钛白粉、锆英砂等原材料价格大幅波动，影响成本和利润弹性。</w:t>
      </w:r>
    </w:p>
    <w:p>
      <w:pPr/>
      <w:r>
        <w:rPr>
          <w:rFonts w:ascii="Arial" w:hAnsi="Arial" w:eastAsia="Noto Sans CJK SC"/>
        </w:rPr>
        <w:t>• ASR 原文存在部分无法完全还原的数字、公司名和图表信息，涉及具体份额、成本占比和个别企业布局仍需结合原始PPT或正式研报复核。</w:t>
      </w:r>
    </w:p>
    <w:p>
      <w:pPr/>
      <w:r>
        <w:rPr>
          <w:rFonts w:ascii="Arial" w:hAnsi="Arial" w:eastAsia="Noto Sans CJK SC"/>
        </w:rPr>
        <w:t>• 本文为公开转写资料重构与投研复盘，不构成任何投资建议。</w:t>
      </w:r>
    </w:p>
    <w:p>
      <w:pPr>
        <w:pStyle w:val="MemoNote"/>
      </w:pPr>
      <w:r>
        <w:rPr>
          <w:rFonts w:ascii="Arial" w:hAnsi="Arial" w:eastAsia="Noto Sans CJK SC"/>
        </w:rPr>
        <w:t>生成口径：高噪声 ASR 保守修复 + 公开资料核验 + 投研级结构化重构；文档正文仅保留纪要和核验说明。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24" w:right="1224" w:bottom="1224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Noto Sans CJK SC"/>
        <w:color w:val="646464"/>
        <w:sz w:val="17"/>
      </w:rPr>
      <w:t>仅供投研复盘与资料归档参考｜不构成任何投资建议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Noto Sans CJK SC"/>
        <w:color w:val="646464"/>
        <w:sz w:val="17"/>
      </w:rPr>
      <w:t>MLCC深度汇报投研纪要｜AI服务器 × 汽车电子 × 上游材料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69" w:lineRule="auto" w:after="80"/>
    </w:pPr>
    <w:rPr>
      <w:rFonts w:ascii="Arial" w:hAnsi="Arial" w:eastAsia="Noto Sans CJK SC"/>
      <w:color w:val="1E1E1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Arial" w:hAnsi="Arial" w:eastAsia="Noto Sans CJK SC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40" w:after="80"/>
      <w:outlineLvl w:val="1"/>
    </w:pPr>
    <w:rPr>
      <w:rFonts w:asciiTheme="majorHAnsi" w:eastAsiaTheme="majorEastAsia" w:hAnsiTheme="majorHAnsi" w:cstheme="majorBidi" w:ascii="Arial" w:hAnsi="Arial" w:eastAsia="Noto Sans CJK SC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40" w:after="80"/>
      <w:outlineLvl w:val="2"/>
    </w:pPr>
    <w:rPr>
      <w:rFonts w:asciiTheme="majorHAnsi" w:eastAsiaTheme="majorEastAsia" w:hAnsiTheme="majorHAnsi" w:cstheme="majorBidi" w:ascii="Arial" w:hAnsi="Arial" w:eastAsia="Noto Sans CJK SC"/>
      <w:b/>
      <w:bCs/>
      <w:color w:val="2E74B5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Noto Sans CJK SC"/>
      <w:b/>
      <w:color w:val="0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emoNote">
    <w:name w:val="MemoNote"/>
    <w:basedOn w:val="Normal"/>
    <w:pPr>
      <w:spacing w:after="60"/>
    </w:pPr>
    <w:rPr>
      <w:color w:val="646464"/>
      <w:sz w:val="18"/>
    </w:rPr>
  </w:style>
  <w:style w:type="paragraph" w:customStyle="1" w:styleId="SmallTableText">
    <w:name w:val="SmallTableText"/>
    <w:basedOn w:val="Normal"/>
    <w:pPr>
      <w:spacing w:after="0"/>
    </w:pPr>
    <w:rPr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