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永新光学（603297.SH）新业务解读电话会议纪要</w:t>
      </w:r>
    </w:p>
    <w:p>
      <w:pPr>
        <w:spacing w:after="200"/>
        <w:jc w:val="center"/>
      </w:pPr>
      <w:r>
        <w:rPr>
          <w:color w:val="595959"/>
          <w:sz w:val="20"/>
          <w:szCs w:val="20"/>
        </w:rPr>
        <w:t xml:space="preserve">主题：商业航天与光通信新业务推荐解读</w:t>
      </w:r>
    </w:p>
    <w:p>
      <w:pPr>
        <w:pStyle w:val="Heading1"/>
      </w:pPr>
      <w:r>
        <w:t xml:space="preserve">一、会议基本信息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t xml:space="preserve">公司：宁波永新光学股份有限公司（603297.SH）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t xml:space="preserve">时间：文本未明确。据会中提及 SpaceX 招股书本周披露、拟最早 6月12日上市等信息，推断约为 2026 年 5 月中旬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t xml:space="preserve">主题：卖方分析师对永新光学新业务（商业航天、光通信）及基本面的推荐解读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t xml:space="preserve">主讲：卖方通信行业分析师（本纪要不具名）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t xml:space="preserve">性质说明：本次为卖方解读电话会，无公司管理层参与；下述观点、预测与价值量测算均为主讲分析师口径，非公司指引</w:t>
      </w:r>
    </w:p>
    <w:p>
      <w:pPr>
        <w:pStyle w:val="Heading1"/>
      </w:pPr>
      <w:r>
        <w:t xml:space="preserve">二、核心要点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t xml:space="preserve">商业航天：公司已在卫星激光通信领域与头部企业建立合作，至少2至3家客户，含体制内504所及其他院所/公司，相关产品已正常出货；该方向确定性与体量均已成规模。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t xml:space="preserve">激光通信单套光学价值量（分析师测算）：占激光通信终端价值量30%以上；批量出货并降本后单套达几十万元级别，有望向百万元靠拢；终端整体价值量此前按往1000万元口径测算[?]。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t xml:space="preserve">光通信：前瞻布局，聚焦下一代CPO、OCS、NPU等柜内光互联，与康宁等客户合作；目前处于市场与技术调研早期阶段，仅初步意向。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t xml:space="preserve">业绩预测（分析师口径）：预计今年营收增速约30%；净利润预测约2.8亿元，利润端受汇兑等影响偏弱。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t xml:space="preserve">毛利率长期维持40%左右；激光雷达因偏C端客户、以量换价拉低利润率，今年预计翻倍增长。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t xml:space="preserve">传统业务地位稳固：高端显微镜、条码扫描分别约占传统营收四成、三成；高端显微镜收入过半已升级为高端，条码扫描核心光学元组件全球出货量第一。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t xml:space="preserve">估值：商业航天链多数公司当前PE极高（需看至2036年前后[?]）；永新当前PE相对扎实，且有光通信、商业航天等新业务持续兑现以打开估值空间。</w:t>
      </w:r>
    </w:p>
    <w:p>
      <w:pPr>
        <w:pStyle w:val="Heading1"/>
      </w:pPr>
      <w:r>
        <w:t xml:space="preserve">三、主讲分析师陈述</w:t>
      </w:r>
    </w:p>
    <w:p>
      <w:pPr>
        <w:pStyle w:val="Heading2"/>
      </w:pPr>
      <w:r>
        <w:t xml:space="preserve">1. 光通信新业务（前瞻布局）</w:t>
      </w:r>
    </w:p>
    <w:p>
      <w:pPr>
        <w:pStyle w:val="ListParagraph"/>
        <w:numPr>
          <w:ilvl w:val="0"/>
          <w:numId w:val="4"/>
        </w:numPr>
        <w:spacing w:after="60" w:line="300"/>
      </w:pPr>
      <w:r>
        <w:t xml:space="preserve">前瞻布局，聚焦下一代技术：CPO、OCS、NPU；主要切入柜内光通信连接。</w:t>
      </w:r>
    </w:p>
    <w:p>
      <w:pPr>
        <w:pStyle w:val="ListParagraph"/>
        <w:numPr>
          <w:ilvl w:val="0"/>
          <w:numId w:val="4"/>
        </w:numPr>
        <w:spacing w:after="60" w:line="300"/>
      </w:pPr>
      <w:r>
        <w:t xml:space="preserve">与康宁等客户合作，瞄准下一代技术做产业跟进、研讨与突破。</w:t>
      </w:r>
    </w:p>
    <w:p>
      <w:pPr>
        <w:pStyle w:val="ListParagraph"/>
        <w:numPr>
          <w:ilvl w:val="0"/>
          <w:numId w:val="4"/>
        </w:numPr>
        <w:spacing w:after="60" w:line="300"/>
      </w:pPr>
      <w:r>
        <w:t xml:space="preserve">目前处于业务刚开展、市场与技术调研阶段，仅初步意向，属早期阶段。</w:t>
      </w:r>
    </w:p>
    <w:p>
      <w:pPr>
        <w:pStyle w:val="ListParagraph"/>
        <w:numPr>
          <w:ilvl w:val="0"/>
          <w:numId w:val="4"/>
        </w:numPr>
        <w:spacing w:after="60" w:line="300"/>
      </w:pPr>
      <w:r>
        <w:t xml:space="preserve">不切入800G、1.6T等传统形态光模块：当前切入时点难度较大，且传统光模块光学价值量占比不高。</w:t>
      </w:r>
    </w:p>
    <w:p>
      <w:pPr>
        <w:pStyle w:val="ListParagraph"/>
        <w:numPr>
          <w:ilvl w:val="0"/>
          <w:numId w:val="4"/>
        </w:numPr>
        <w:spacing w:after="60" w:line="300"/>
      </w:pPr>
      <w:r>
        <w:t xml:space="preserve">CPO路线近期被夯实，为远期较一致的技术方向；长期机会大。</w:t>
      </w:r>
    </w:p>
    <w:p>
      <w:pPr>
        <w:pStyle w:val="Heading2"/>
      </w:pPr>
      <w:r>
        <w:t xml:space="preserve">2. 商业航天新业务（已成规模）</w:t>
      </w:r>
    </w:p>
    <w:p>
      <w:pPr>
        <w:pStyle w:val="ListParagraph"/>
        <w:numPr>
          <w:ilvl w:val="0"/>
          <w:numId w:val="5"/>
        </w:numPr>
        <w:spacing w:after="60" w:line="300"/>
      </w:pPr>
      <w:r>
        <w:t xml:space="preserve">业务开展确定性与体量均已成规模。</w:t>
      </w:r>
    </w:p>
    <w:p>
      <w:pPr>
        <w:pStyle w:val="ListParagraph"/>
        <w:numPr>
          <w:ilvl w:val="0"/>
          <w:numId w:val="5"/>
        </w:numPr>
        <w:spacing w:after="60" w:line="300"/>
      </w:pPr>
      <w:r>
        <w:t xml:space="preserve">卫星激光通信领域已与头部企业建立合作，至少2至3家，含体制内504所及其他院所/公司；相关产品已正常出货。</w:t>
      </w:r>
    </w:p>
    <w:p>
      <w:pPr>
        <w:pStyle w:val="ListParagraph"/>
        <w:numPr>
          <w:ilvl w:val="0"/>
          <w:numId w:val="5"/>
        </w:numPr>
        <w:spacing w:after="60" w:line="300"/>
      </w:pPr>
      <w:r>
        <w:t xml:space="preserve">技术基础：曾参与嫦娥系列卫星、空间站太空显微实验仪等重点项目。</w:t>
      </w:r>
    </w:p>
    <w:p>
      <w:pPr>
        <w:pStyle w:val="ListParagraph"/>
        <w:numPr>
          <w:ilvl w:val="0"/>
          <w:numId w:val="5"/>
        </w:numPr>
        <w:spacing w:after="60" w:line="300"/>
      </w:pPr>
      <w:r>
        <w:t xml:space="preserve">公司在年报中以约一句话作简单披露[?]；去年11月商业航天行情中尚未被作为卫星/商业航天标的认知，今年披露态度较积极。</w:t>
      </w:r>
    </w:p>
    <w:p>
      <w:pPr>
        <w:pStyle w:val="ListParagraph"/>
        <w:numPr>
          <w:ilvl w:val="0"/>
          <w:numId w:val="5"/>
        </w:numPr>
        <w:spacing w:after="60" w:line="300"/>
      </w:pPr>
      <w:r>
        <w:t xml:space="preserve">站位评价：激光通信为国内外（SpaceX、国内星网）明确的技术路线，星间通信必用激光通信实现；价值量高，竞争格局友好（业务新、技术壁垒高）。</w:t>
      </w:r>
    </w:p>
    <w:p>
      <w:pPr>
        <w:pStyle w:val="ListParagraph"/>
        <w:numPr>
          <w:ilvl w:val="0"/>
          <w:numId w:val="5"/>
        </w:numPr>
        <w:spacing w:after="60" w:line="300"/>
      </w:pPr>
      <w:r>
        <w:t xml:space="preserve">稀缺性：商业航天板块经多轮演绎，卫星制造、火箭、运营等标的已被反复挖掘；以永新为代表、尚未被充分覆盖的标的较少，属稀缺。</w:t>
      </w:r>
    </w:p>
    <w:p>
      <w:pPr>
        <w:pStyle w:val="Heading2"/>
      </w:pPr>
      <w:r>
        <w:t xml:space="preserve">3. 行业判断与SpaceX催化</w:t>
      </w:r>
    </w:p>
    <w:p>
      <w:pPr>
        <w:pStyle w:val="ListParagraph"/>
        <w:numPr>
          <w:ilvl w:val="0"/>
          <w:numId w:val="6"/>
        </w:numPr>
        <w:spacing w:after="60" w:line="300"/>
      </w:pPr>
      <w:r>
        <w:t xml:space="preserve">SpaceX IPO：原市场预期在6月底、7月初；近期马斯克提前至最早6月12日上市，招股书或于本周披露；为史上最大IPO，估值1.75万亿至2万亿美元，对国内相关环节具映射参考价值。</w:t>
      </w:r>
    </w:p>
    <w:p>
      <w:pPr>
        <w:pStyle w:val="ListParagraph"/>
        <w:numPr>
          <w:ilvl w:val="0"/>
          <w:numId w:val="6"/>
        </w:numPr>
        <w:spacing w:after="60" w:line="300"/>
      </w:pPr>
      <w:r>
        <w:t xml:space="preserve">国内Q2及下半年重点关注可回收型号：体制内常识二[?]、常识B[?]，以及蓝箭朱雀三号；可回收为中美差距较大的技术难点，进展将催化板块。</w:t>
      </w:r>
    </w:p>
    <w:p>
      <w:pPr>
        <w:pStyle w:val="ListParagraph"/>
        <w:numPr>
          <w:ilvl w:val="0"/>
          <w:numId w:val="6"/>
        </w:numPr>
        <w:spacing w:after="60" w:line="300"/>
      </w:pPr>
      <w:r>
        <w:t xml:space="preserve">看好三类稀缺方向：激光通信类稀缺环节（永新所在）、SpaceX映射环节、对卫星投入度高（产业投资/增发重投入）的上市公司，后者股价反馈良好。</w:t>
      </w:r>
    </w:p>
    <w:p>
      <w:pPr>
        <w:pStyle w:val="Heading2"/>
      </w:pPr>
      <w:r>
        <w:t xml:space="preserve">4. 公司基本面</w:t>
      </w:r>
    </w:p>
    <w:p>
      <w:pPr>
        <w:pStyle w:val="ListParagraph"/>
        <w:numPr>
          <w:ilvl w:val="0"/>
          <w:numId w:val="7"/>
        </w:numPr>
        <w:spacing w:after="60" w:line="300"/>
      </w:pPr>
      <w:r>
        <w:t xml:space="preserve">1997年成立，老牌专注光学企业；独特产学研模式，与中科院多家院所及以浙大为主的高校合作；虽无四大光机所明确背景，产学研积淀深厚。</w:t>
      </w:r>
    </w:p>
    <w:p>
      <w:pPr>
        <w:pStyle w:val="ListParagraph"/>
        <w:numPr>
          <w:ilvl w:val="0"/>
          <w:numId w:val="7"/>
        </w:numPr>
        <w:spacing w:after="60" w:line="300"/>
      </w:pPr>
      <w:r>
        <w:t xml:space="preserve">营收稳健增长；前两年受宏观影响：条码扫描（约占营收三成、出海）随宏观偏弱阶段性波动，显微镜受国内设备补贴拨款速度影响。</w:t>
      </w:r>
    </w:p>
    <w:p>
      <w:pPr>
        <w:pStyle w:val="ListParagraph"/>
        <w:numPr>
          <w:ilvl w:val="0"/>
          <w:numId w:val="7"/>
        </w:numPr>
        <w:spacing w:after="60" w:line="300"/>
      </w:pPr>
      <w:r>
        <w:t xml:space="preserve">作为精密光学高科技企业，毛利率长期保持40%左右；近两年激光雷达（偏C端客户、以量换价）拉低利润率。</w:t>
      </w:r>
    </w:p>
    <w:p>
      <w:pPr>
        <w:pStyle w:val="ListParagraph"/>
        <w:numPr>
          <w:ilvl w:val="0"/>
          <w:numId w:val="7"/>
        </w:numPr>
        <w:spacing w:after="60" w:line="300"/>
      </w:pPr>
      <w:r>
        <w:t xml:space="preserve">产品趋势：往高端化、模组化两大方向演绎，带动利润率与市场空间持续打开。</w:t>
      </w:r>
    </w:p>
    <w:p>
      <w:pPr>
        <w:pStyle w:val="ListParagraph"/>
        <w:numPr>
          <w:ilvl w:val="0"/>
          <w:numId w:val="7"/>
        </w:numPr>
        <w:spacing w:after="60" w:line="300"/>
      </w:pPr>
      <w:r>
        <w:t xml:space="preserve">传统两大业务占比：高端显微镜约四成、条码扫描约三成；高端显微镜收入过半已替代为高端（共聚焦、超分辨等），条码扫描经多年积累做到全球出货量第一且稳定。</w:t>
      </w:r>
    </w:p>
    <w:p>
      <w:pPr>
        <w:pStyle w:val="ListParagraph"/>
        <w:numPr>
          <w:ilvl w:val="0"/>
          <w:numId w:val="7"/>
        </w:numPr>
        <w:spacing w:after="60" w:line="300"/>
      </w:pPr>
      <w:r>
        <w:t xml:space="preserve">其他新业务：去年拓展半导体光学、虚拟货币领域虹膜识别（生物信息采集）光学并已兑现订单；医疗光学等领域持续拓展；激光雷达今年预计翻倍式增长。</w:t>
      </w:r>
    </w:p>
    <w:p>
      <w:pPr>
        <w:pStyle w:val="Heading2"/>
      </w:pPr>
      <w:r>
        <w:t xml:space="preserve">5. 业绩与估值（分析师口径）</w:t>
      </w:r>
    </w:p>
    <w:p>
      <w:pPr>
        <w:pStyle w:val="ListParagraph"/>
        <w:numPr>
          <w:ilvl w:val="0"/>
          <w:numId w:val="8"/>
        </w:numPr>
        <w:spacing w:after="60" w:line="300"/>
      </w:pPr>
      <w:r>
        <w:t xml:space="preserve">预计今年营收增速约30%；净利润预测约2.8亿元，受汇兑等影响利润端偏弱（Q1[?]）。</w:t>
      </w:r>
    </w:p>
    <w:p>
      <w:pPr>
        <w:pStyle w:val="ListParagraph"/>
        <w:numPr>
          <w:ilvl w:val="0"/>
          <w:numId w:val="8"/>
        </w:numPr>
        <w:spacing w:after="60" w:line="300"/>
      </w:pPr>
      <w:r>
        <w:t xml:space="preserve">商业航天链多数公司估值高企，部分公司今年PE需看至2036年前后[?]；永新当前PE相对扎实。</w:t>
      </w:r>
    </w:p>
    <w:p>
      <w:pPr>
        <w:pStyle w:val="ListParagraph"/>
        <w:numPr>
          <w:ilvl w:val="0"/>
          <w:numId w:val="8"/>
        </w:numPr>
        <w:spacing w:after="60" w:line="300"/>
      </w:pPr>
      <w:r>
        <w:t xml:space="preserve">新业务（光通信、商业航天）持续开拓下游并兑现，有望进一步抬升估值。</w:t>
      </w:r>
    </w:p>
    <w:p>
      <w:pPr>
        <w:pStyle w:val="ListParagraph"/>
        <w:numPr>
          <w:ilvl w:val="0"/>
          <w:numId w:val="8"/>
        </w:numPr>
        <w:spacing w:after="60" w:line="300"/>
      </w:pPr>
      <w:r>
        <w:t xml:space="preserve">后续计划安排对公司的实地调研。</w:t>
      </w:r>
    </w:p>
    <w:p>
      <w:pPr>
        <w:pStyle w:val="Heading1"/>
      </w:pPr>
      <w:r>
        <w:t xml:space="preserve">四、Q&amp;A</w:t>
      </w:r>
    </w:p>
    <w:p>
      <w:pPr>
        <w:spacing w:after="80" w:line="300"/>
      </w:pPr>
      <w:r>
        <w:t xml:space="preserve">会议结束时主讲人邀约会后与团队交流，文本未记录具体问答。</w:t>
      </w:r>
    </w:p>
    <w:p>
      <w:pPr>
        <w:pStyle w:val="Heading1"/>
      </w:pPr>
      <w:r>
        <w:t xml:space="preserve">五、关键数据汇总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00"/>
        <w:gridCol w:w="3126"/>
      </w:tblGrid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sz w:val="20"/>
                <w:szCs w:val="20"/>
              </w:rPr>
              <w:t xml:space="preserve">指标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sz w:val="20"/>
                <w:szCs w:val="20"/>
              </w:rPr>
              <w:t xml:space="preserve">数值/口径</w:t>
            </w:r>
          </w:p>
        </w:tc>
        <w:tc>
          <w:tcPr>
            <w:tcW w:type="dxa" w:w="31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sz w:val="20"/>
                <w:szCs w:val="20"/>
              </w:rPr>
              <w:t xml:space="preserve">备注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今年营收增速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约30%</w:t>
            </w:r>
          </w:p>
        </w:tc>
        <w:tc>
          <w:tcPr>
            <w:tcW w:type="dxa" w:w="31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分析师预测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今年净利润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约2.8亿元</w:t>
            </w:r>
          </w:p>
        </w:tc>
        <w:tc>
          <w:tcPr>
            <w:tcW w:type="dxa" w:w="31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分析师预测，受汇兑影响偏弱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毛利率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约40%</w:t>
            </w:r>
          </w:p>
        </w:tc>
        <w:tc>
          <w:tcPr>
            <w:tcW w:type="dxa" w:w="31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长期水平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高端显微镜营收占比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约40%</w:t>
            </w:r>
          </w:p>
        </w:tc>
        <w:tc>
          <w:tcPr>
            <w:tcW w:type="dxa" w:w="31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传统营收口径；收入过半已升级高端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条码扫描营收占比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约30%</w:t>
            </w:r>
          </w:p>
        </w:tc>
        <w:tc>
          <w:tcPr>
            <w:tcW w:type="dxa" w:w="31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传统营收口径；核心光学元组件全球出货量第一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激光通信单套光学价值量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几十万元级，有望向百万元</w:t>
            </w:r>
          </w:p>
        </w:tc>
        <w:tc>
          <w:tcPr>
            <w:tcW w:type="dxa" w:w="31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占终端价值量30%以上；终端整体曾按往1000万元测算[?]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激光雷达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今年预计翻倍增长</w:t>
            </w:r>
          </w:p>
        </w:tc>
        <w:tc>
          <w:tcPr>
            <w:tcW w:type="dxa" w:w="31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偏C端、以量换价拉低利润率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SpaceX IPO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最早6月12日；估值1.75万亿至2万亿美元</w:t>
            </w:r>
          </w:p>
        </w:tc>
        <w:tc>
          <w:tcPr>
            <w:tcW w:type="dxa" w:w="31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sz w:val="20"/>
                <w:szCs w:val="20"/>
              </w:rPr>
              <w:t xml:space="preserve">史上最大IPO，国内环节映射参考</w:t>
            </w:r>
          </w:p>
        </w:tc>
      </w:tr>
    </w:tbl>
    <w:p>
      <w:pPr>
        <w:spacing w:after="0" w:before="240"/>
      </w:pPr>
      <w:r>
        <w:rPr>
          <w:color w:val="7F7F7F"/>
          <w:sz w:val="18"/>
          <w:szCs w:val="18"/>
        </w:rPr>
        <w:t xml:space="preserve">注：标记[?]处为转写不清，未作主观补全；本纪要不含投资建议。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8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8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8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8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80"/>
      </w:pPr>
    </w:lvl>
  </w:abstractNum>
  <w:abstractNum w:abstractNumId="10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 w:before="0"/>
      <w:jc w:val="center"/>
    </w:pPr>
    <w:rPr>
      <w:rFonts w:ascii="Microsoft YaHei" w:cs="Microsoft YaHei" w:eastAsia="Microsoft YaHei" w:hAnsi="Microsoft YaHei"/>
      <w:b/>
      <w:bCs/>
      <w:sz w:val="32"/>
      <w:szCs w:val="32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Microsoft YaHei" w:cs="Microsoft YaHei" w:eastAsia="Microsoft YaHei" w:hAnsi="Microsoft YaHei"/>
      <w:b/>
      <w:bCs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Microsoft YaHei" w:cs="Microsoft YaHei" w:eastAsia="Microsoft YaHei" w:hAnsi="Microsoft YaHei"/>
      <w:b/>
      <w:bCs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2026-05-18T08:44:05.214Z</dcterms:created>
  <dcterms:modified xsi:type="dcterms:W3CDTF">2026-05-18T08:44:05.215Z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